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78C6B">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宋体" w:cs="Times New Roman"/>
          <w:b/>
          <w:bCs/>
          <w:color w:val="auto"/>
          <w:sz w:val="32"/>
          <w:szCs w:val="32"/>
          <w:lang w:val="en-US" w:eastAsia="zh-CN"/>
        </w:rPr>
      </w:pPr>
      <w:r>
        <w:rPr>
          <w:rFonts w:hint="default" w:ascii="Times New Roman" w:hAnsi="Times New Roman" w:eastAsia="宋体" w:cs="Times New Roman"/>
          <w:b/>
          <w:bCs/>
          <w:color w:val="auto"/>
          <w:sz w:val="32"/>
          <w:szCs w:val="32"/>
          <w:lang w:val="en-US" w:eastAsia="zh-CN"/>
        </w:rPr>
        <w:t>附件2</w:t>
      </w:r>
    </w:p>
    <w:p w14:paraId="3263D41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简体" w:cs="Times New Roman"/>
          <w:b w:val="0"/>
          <w:bCs w:val="0"/>
          <w:color w:val="FF0000"/>
          <w:sz w:val="36"/>
          <w:szCs w:val="36"/>
          <w:lang w:val="en-US" w:eastAsia="zh-CN"/>
        </w:rPr>
      </w:pPr>
    </w:p>
    <w:p w14:paraId="5C806F06">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简体" w:cs="Times New Roman"/>
          <w:b w:val="0"/>
          <w:bCs w:val="0"/>
          <w:color w:val="auto"/>
          <w:sz w:val="36"/>
          <w:szCs w:val="36"/>
          <w:lang w:val="en-US" w:eastAsia="zh-CN"/>
        </w:rPr>
      </w:pPr>
      <w:r>
        <w:rPr>
          <w:rFonts w:hint="eastAsia" w:ascii="Times New Roman" w:hAnsi="Times New Roman" w:eastAsia="方正小标宋简体" w:cs="Times New Roman"/>
          <w:b w:val="0"/>
          <w:bCs w:val="0"/>
          <w:color w:val="auto"/>
          <w:sz w:val="36"/>
          <w:szCs w:val="36"/>
          <w:lang w:val="en-US" w:eastAsia="zh-CN"/>
        </w:rPr>
        <w:t>鸡东县</w:t>
      </w:r>
      <w:r>
        <w:rPr>
          <w:rFonts w:hint="default" w:ascii="Times New Roman" w:hAnsi="Times New Roman" w:eastAsia="方正小标宋简体" w:cs="Times New Roman"/>
          <w:b w:val="0"/>
          <w:bCs w:val="0"/>
          <w:color w:val="auto"/>
          <w:sz w:val="36"/>
          <w:szCs w:val="36"/>
          <w:lang w:val="en-US" w:eastAsia="zh-CN"/>
        </w:rPr>
        <w:t>人民政府关于调整征地区片综合地价标准的</w:t>
      </w:r>
    </w:p>
    <w:p w14:paraId="7400B110">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b w:val="0"/>
          <w:bCs w:val="0"/>
          <w:color w:val="auto"/>
          <w:sz w:val="36"/>
          <w:szCs w:val="36"/>
          <w:lang w:val="en-US" w:eastAsia="zh-CN"/>
        </w:rPr>
      </w:pPr>
      <w:r>
        <w:rPr>
          <w:rFonts w:hint="default" w:ascii="Times New Roman" w:hAnsi="Times New Roman" w:eastAsia="方正小标宋简体" w:cs="Times New Roman"/>
          <w:b w:val="0"/>
          <w:bCs w:val="0"/>
          <w:color w:val="auto"/>
          <w:sz w:val="36"/>
          <w:szCs w:val="36"/>
          <w:lang w:val="en-US" w:eastAsia="zh-CN"/>
        </w:rPr>
        <w:t>通知（征求意见稿）解读</w:t>
      </w:r>
    </w:p>
    <w:p w14:paraId="63622462">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为落实《中华人民共和国土地管理法》《黑龙江省人民政府关于印发黑龙江省征地区片综合地价实施办法的通知》（黑政发〔2014〕34号）《黑龙江省重大行政决策程序暂行规定》（黑龙江省人民政府令 第4号），维护农村集体经济组织和被征地农民的合法权益，切实做好土地征收工作，根据黑龙江省自然资源厅</w:t>
      </w:r>
      <w:r>
        <w:rPr>
          <w:rFonts w:hint="default" w:ascii="Times New Roman" w:hAnsi="Times New Roman" w:eastAsia="仿宋_GB2312" w:cs="Times New Roman"/>
          <w:color w:val="auto"/>
          <w:sz w:val="32"/>
          <w:szCs w:val="32"/>
          <w:lang w:val="en-US" w:eastAsia="zh-CN"/>
        </w:rPr>
        <w:t>《关于印发＜2026年黑龙江省征收土地区片综合地价调整或重新公布工作方案＞的通知》（黑自然资发〔2026〕2号），结合</w:t>
      </w:r>
      <w:r>
        <w:rPr>
          <w:rFonts w:hint="eastAsia" w:ascii="Times New Roman" w:hAnsi="Times New Roman" w:eastAsia="仿宋_GB2312" w:cs="Times New Roman"/>
          <w:color w:val="auto"/>
          <w:sz w:val="32"/>
          <w:szCs w:val="32"/>
          <w:lang w:val="en-US" w:eastAsia="zh-CN"/>
        </w:rPr>
        <w:t>我县</w:t>
      </w:r>
      <w:r>
        <w:rPr>
          <w:rFonts w:hint="default" w:ascii="Times New Roman" w:hAnsi="Times New Roman" w:eastAsia="仿宋_GB2312" w:cs="Times New Roman"/>
          <w:color w:val="auto"/>
          <w:sz w:val="32"/>
          <w:szCs w:val="32"/>
          <w:lang w:val="en-US" w:eastAsia="zh-CN"/>
        </w:rPr>
        <w:t>经济社会发展实际情况，</w:t>
      </w:r>
      <w:r>
        <w:rPr>
          <w:rFonts w:hint="eastAsia"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lang w:val="en-US" w:eastAsia="zh-CN"/>
        </w:rPr>
        <w:t>政府拟调整、公布</w:t>
      </w:r>
      <w:r>
        <w:rPr>
          <w:rFonts w:hint="eastAsia" w:ascii="Times New Roman" w:hAnsi="Times New Roman" w:eastAsia="仿宋_GB2312" w:cs="Times New Roman"/>
          <w:color w:val="auto"/>
          <w:sz w:val="32"/>
          <w:szCs w:val="32"/>
          <w:lang w:val="en-US" w:eastAsia="zh-CN"/>
        </w:rPr>
        <w:t>鸡东县</w:t>
      </w:r>
      <w:r>
        <w:rPr>
          <w:rFonts w:hint="default" w:ascii="Times New Roman" w:hAnsi="Times New Roman" w:eastAsia="仿宋_GB2312" w:cs="Times New Roman"/>
          <w:color w:val="auto"/>
          <w:sz w:val="32"/>
          <w:szCs w:val="32"/>
          <w:lang w:val="en-US" w:eastAsia="zh-CN"/>
        </w:rPr>
        <w:t>征地区片综合地价执行标准，特作如下解读：</w:t>
      </w:r>
    </w:p>
    <w:p w14:paraId="45ED0EE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一、工作背景</w:t>
      </w:r>
    </w:p>
    <w:p w14:paraId="272EA7F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根据《中华人民共和国土地管理法》第四十八条“征收农用地的土地补偿费、安置补助费标准由省、自治区、直辖市通过制定公布区片综合地价确定。制定区片综合地价应当综合考虑土地原用途、土地资源条件、土地产值、土地区位、土地供求关系、人口以及经济社会发展水平等因素，并至少每三年调整或者重新公布一次。”</w:t>
      </w:r>
      <w:r>
        <w:rPr>
          <w:rFonts w:hint="eastAsia" w:ascii="Times New Roman" w:hAnsi="Times New Roman" w:eastAsia="仿宋_GB2312" w:cs="Times New Roman"/>
          <w:color w:val="auto"/>
          <w:sz w:val="32"/>
          <w:szCs w:val="32"/>
          <w:lang w:val="en-US" w:eastAsia="zh-CN"/>
        </w:rPr>
        <w:t>鸡东县</w:t>
      </w:r>
      <w:r>
        <w:rPr>
          <w:rFonts w:hint="default" w:ascii="Times New Roman" w:hAnsi="Times New Roman" w:eastAsia="仿宋_GB2312" w:cs="Times New Roman"/>
          <w:color w:val="auto"/>
          <w:sz w:val="32"/>
          <w:szCs w:val="32"/>
          <w:lang w:val="en-US" w:eastAsia="zh-CN"/>
        </w:rPr>
        <w:t>现行征收土地区片综合地价成果于2023年</w:t>
      </w:r>
      <w:r>
        <w:rPr>
          <w:rFonts w:hint="eastAsia"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val="en-US" w:eastAsia="zh-CN"/>
        </w:rPr>
        <w:t>日经</w:t>
      </w:r>
      <w:r>
        <w:rPr>
          <w:rFonts w:hint="eastAsia" w:ascii="Times New Roman" w:hAnsi="Times New Roman" w:eastAsia="仿宋_GB2312" w:cs="Times New Roman"/>
          <w:color w:val="auto"/>
          <w:sz w:val="32"/>
          <w:szCs w:val="32"/>
          <w:lang w:val="en-US" w:eastAsia="zh-CN"/>
        </w:rPr>
        <w:t>鸡西市</w:t>
      </w:r>
      <w:r>
        <w:rPr>
          <w:rFonts w:hint="default" w:ascii="Times New Roman" w:hAnsi="Times New Roman" w:eastAsia="仿宋_GB2312" w:cs="Times New Roman"/>
          <w:color w:val="auto"/>
          <w:sz w:val="32"/>
          <w:szCs w:val="32"/>
          <w:lang w:val="en-US" w:eastAsia="zh-CN"/>
        </w:rPr>
        <w:t>人民政府统一发布实施，到目前已实施三年。按照相关法律法规及文件要求，</w:t>
      </w:r>
      <w:r>
        <w:rPr>
          <w:rFonts w:hint="eastAsia" w:ascii="Times New Roman" w:hAnsi="Times New Roman" w:eastAsia="仿宋_GB2312" w:cs="Times New Roman"/>
          <w:color w:val="auto"/>
          <w:sz w:val="32"/>
          <w:szCs w:val="32"/>
          <w:lang w:val="en-US" w:eastAsia="zh-CN"/>
        </w:rPr>
        <w:t>我县</w:t>
      </w:r>
      <w:r>
        <w:rPr>
          <w:rFonts w:hint="default" w:ascii="Times New Roman" w:hAnsi="Times New Roman" w:eastAsia="仿宋_GB2312" w:cs="Times New Roman"/>
          <w:color w:val="auto"/>
          <w:sz w:val="32"/>
          <w:szCs w:val="32"/>
          <w:lang w:val="en-US" w:eastAsia="zh-CN"/>
        </w:rPr>
        <w:t>进行征地区片综合地价调整并公布。</w:t>
      </w:r>
    </w:p>
    <w:p w14:paraId="62625DA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二、现行执行标准实施及更新评估情况</w:t>
      </w:r>
    </w:p>
    <w:p w14:paraId="149011B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自征地区片综合地价执行标准施行以来，</w:t>
      </w:r>
      <w:r>
        <w:rPr>
          <w:rFonts w:hint="eastAsia" w:ascii="Times New Roman" w:hAnsi="Times New Roman" w:eastAsia="仿宋_GB2312" w:cs="Times New Roman"/>
          <w:color w:val="auto"/>
          <w:sz w:val="32"/>
          <w:szCs w:val="32"/>
          <w:lang w:val="en-US" w:eastAsia="zh-CN"/>
        </w:rPr>
        <w:t>县</w:t>
      </w:r>
      <w:r>
        <w:rPr>
          <w:rFonts w:hint="default" w:ascii="Times New Roman" w:hAnsi="Times New Roman" w:eastAsia="仿宋_GB2312" w:cs="Times New Roman"/>
          <w:color w:val="auto"/>
          <w:sz w:val="32"/>
          <w:szCs w:val="32"/>
          <w:lang w:val="en-US" w:eastAsia="zh-CN"/>
        </w:rPr>
        <w:t>政府按照征地补偿标准要求足额归集、支付征地补偿款，执行情况良好，被征地农民和用地单位认可程度高，社会稳定性好，取得了较好的社会效果。</w:t>
      </w:r>
    </w:p>
    <w:p w14:paraId="6FAA543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结合</w:t>
      </w:r>
      <w:r>
        <w:rPr>
          <w:rFonts w:hint="eastAsia" w:ascii="Times New Roman" w:hAnsi="Times New Roman" w:eastAsia="仿宋_GB2312" w:cs="Times New Roman"/>
          <w:color w:val="auto"/>
          <w:sz w:val="32"/>
          <w:szCs w:val="32"/>
          <w:lang w:val="en-US" w:eastAsia="zh-CN"/>
        </w:rPr>
        <w:t>我县</w:t>
      </w:r>
      <w:r>
        <w:rPr>
          <w:rFonts w:hint="default" w:ascii="Times New Roman" w:hAnsi="Times New Roman" w:eastAsia="仿宋_GB2312" w:cs="Times New Roman"/>
          <w:color w:val="auto"/>
          <w:sz w:val="32"/>
          <w:szCs w:val="32"/>
          <w:lang w:val="en-US" w:eastAsia="zh-CN"/>
        </w:rPr>
        <w:t>经济社会的发展情况，考虑到为维护社会稳定、保障被征地农民切身利益</w:t>
      </w:r>
      <w:r>
        <w:rPr>
          <w:rFonts w:hint="eastAsia" w:ascii="Times New Roman" w:hAnsi="Times New Roman" w:eastAsia="仿宋_GB2312" w:cs="Times New Roman"/>
          <w:color w:val="auto"/>
          <w:sz w:val="32"/>
          <w:szCs w:val="32"/>
          <w:lang w:val="en-US" w:eastAsia="zh-CN"/>
        </w:rPr>
        <w:t>的现实</w:t>
      </w:r>
      <w:r>
        <w:rPr>
          <w:rFonts w:hint="default" w:ascii="Times New Roman" w:hAnsi="Times New Roman" w:eastAsia="仿宋_GB2312" w:cs="Times New Roman"/>
          <w:color w:val="auto"/>
          <w:sz w:val="32"/>
          <w:szCs w:val="32"/>
          <w:lang w:val="en-US" w:eastAsia="zh-CN"/>
        </w:rPr>
        <w:t>需要，拟调整</w:t>
      </w:r>
      <w:r>
        <w:rPr>
          <w:rFonts w:hint="eastAsia" w:ascii="Times New Roman" w:hAnsi="Times New Roman" w:eastAsia="仿宋_GB2312" w:cs="Times New Roman"/>
          <w:color w:val="auto"/>
          <w:sz w:val="32"/>
          <w:szCs w:val="32"/>
          <w:lang w:val="en-US" w:eastAsia="zh-CN"/>
        </w:rPr>
        <w:t>我县</w:t>
      </w:r>
      <w:r>
        <w:rPr>
          <w:rFonts w:hint="default" w:ascii="Times New Roman" w:hAnsi="Times New Roman" w:eastAsia="仿宋_GB2312" w:cs="Times New Roman"/>
          <w:color w:val="auto"/>
          <w:sz w:val="32"/>
          <w:szCs w:val="32"/>
          <w:lang w:val="en-US" w:eastAsia="zh-CN"/>
        </w:rPr>
        <w:t>征地区片综合地价执行标准。</w:t>
      </w:r>
    </w:p>
    <w:p w14:paraId="6524BBCF">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三、拟公布调整后执行标准主要内容</w:t>
      </w:r>
    </w:p>
    <w:p w14:paraId="6C27B2C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征地区片综合地价是征收农民集体农用地的土地补偿费和安置补助费标准，不包括法律规定用于社会保险缴费补贴的被征地农民社会保障费用，征收农用地涉及的地上附着物和青苗的补偿费用。按征地区片综合地价确定的补偿，涉及土地承包经营权的耕地的，70%用于安置拥有承包经营权的被征地农民，30%用于持有集体土地所有权的集体经济组织安排基础和公益设施建设、兴办村办企业和被征地农民的生活补助等。征收集体建设用地及未利用地，按照征地区片综合地价予以补偿，</w:t>
      </w:r>
      <w:r>
        <w:rPr>
          <w:rFonts w:hint="default" w:ascii="Times New Roman" w:hAnsi="Times New Roman" w:eastAsia="仿宋_GB2312" w:cs="Times New Roman"/>
          <w:b w:val="0"/>
          <w:bCs w:val="0"/>
          <w:color w:val="auto"/>
          <w:sz w:val="32"/>
          <w:szCs w:val="32"/>
          <w:highlight w:val="none"/>
          <w:lang w:val="en-US" w:eastAsia="zh-CN"/>
        </w:rPr>
        <w:t>征地区片综合地价</w:t>
      </w:r>
      <w:r>
        <w:rPr>
          <w:rFonts w:hint="default" w:ascii="Times New Roman" w:hAnsi="Times New Roman" w:eastAsia="仿宋_GB2312" w:cs="Times New Roman"/>
          <w:color w:val="auto"/>
          <w:sz w:val="32"/>
          <w:szCs w:val="32"/>
          <w:lang w:val="en-US" w:eastAsia="zh-CN"/>
        </w:rPr>
        <w:t>支付给集体经济组织。</w:t>
      </w:r>
    </w:p>
    <w:p w14:paraId="66F43DA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土地征收涉及的地上附着物和青苗等补偿标准，依照公平合理的原则，委托具备资质的资产评估机构评估，按其评估结果予以补偿。</w:t>
      </w:r>
    </w:p>
    <w:p w14:paraId="647EE93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四、拟公布执行标准调整意义</w:t>
      </w:r>
    </w:p>
    <w:p w14:paraId="025F4E51">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调整征地区片综合地价执行标准，有利于解决征地补偿不合理、同地不同价、随意性较大等问题，是坚持以人民为中心</w:t>
      </w:r>
      <w:r>
        <w:rPr>
          <w:rFonts w:hint="eastAsia" w:ascii="Times New Roman" w:hAnsi="Times New Roman"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lang w:val="en-US" w:eastAsia="zh-CN"/>
        </w:rPr>
        <w:t>发展思想，依法合理做好征地补偿安置工作、保障被征地农民切身利益、维护社会和谐稳定的基础性工作，对充分维护和保障被征地农民合法土地权益、推动经济运行持续向好具有重要意义。</w:t>
      </w:r>
    </w:p>
    <w:p w14:paraId="29F8524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五、公布调整执行标准施行时间及有效期</w:t>
      </w:r>
    </w:p>
    <w:p w14:paraId="1DC84E5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自2026年10月1日起实施，有效期至2029年9月30日。</w:t>
      </w:r>
    </w:p>
    <w:p w14:paraId="1954C2E3">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b w:val="0"/>
          <w:bCs w:val="0"/>
          <w:color w:val="auto"/>
          <w:sz w:val="32"/>
          <w:szCs w:val="32"/>
          <w:lang w:val="en-US" w:eastAsia="zh-CN"/>
        </w:rPr>
      </w:pPr>
    </w:p>
    <w:p w14:paraId="27E1EB16">
      <w:bookmarkStart w:id="0" w:name="_GoBack"/>
      <w:bookmarkEnd w:id="0"/>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_GB2312">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1011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1D030B">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71D030B">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181F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99"/>
    <w:pPr>
      <w:spacing w:line="300" w:lineRule="auto"/>
      <w:ind w:firstLine="556"/>
    </w:pPr>
    <w:rPr>
      <w:rFonts w:ascii="??_GB2312" w:eastAsia="Times New Roman"/>
      <w:szCs w:val="20"/>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2026-07-24T03:27:33Z</dcterms:created>
  <dc:creator>Administrator</dc:creator>
  <cp:lastModifiedBy>WPS_1757292468</cp:lastModifiedBy>
  <dcterms:modified xsi:type="dcterms:W3CDTF">2026-07-24T03:27:59Z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eyJoZGlkIjoiYjBhMWUyYWU5ZWMwODRiNTVjYzMxZmJlN2FkYmNjNjIiLCJ1c2VySWQiOiIxNzM4OTc1NDgyIn0=</vt:lpwstr>
  </property>
  <property fmtid="{D5CDD505-2E9C-101B-9397-08002B2CF9AE}" pid="4" name="ICV">
    <vt:lpwstr>0B0E1A60B1734AF18C8034BFA1D67EFA_12</vt:lpwstr>
  </property>
</Properties>
</file>