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D75E92">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宋体" w:cs="Times New Roman"/>
          <w:b/>
          <w:bCs/>
          <w:color w:val="auto"/>
          <w:sz w:val="32"/>
          <w:szCs w:val="32"/>
          <w:lang w:val="en-US" w:eastAsia="zh-CN"/>
        </w:rPr>
      </w:pPr>
      <w:r>
        <w:rPr>
          <w:rFonts w:hint="default" w:ascii="Times New Roman" w:hAnsi="Times New Roman" w:eastAsia="宋体" w:cs="Times New Roman"/>
          <w:b/>
          <w:bCs/>
          <w:color w:val="auto"/>
          <w:sz w:val="32"/>
          <w:szCs w:val="32"/>
          <w:lang w:val="en-US" w:eastAsia="zh-CN"/>
        </w:rPr>
        <w:t>附件1</w:t>
      </w:r>
    </w:p>
    <w:p w14:paraId="187E18F8">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b w:val="0"/>
          <w:bCs w:val="0"/>
          <w:color w:val="auto"/>
          <w:sz w:val="32"/>
          <w:szCs w:val="32"/>
          <w:lang w:val="en-US" w:eastAsia="zh-CN"/>
        </w:rPr>
      </w:pPr>
    </w:p>
    <w:p w14:paraId="404F267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小标宋简体" w:cs="Times New Roman"/>
          <w:b w:val="0"/>
          <w:bCs w:val="0"/>
          <w:color w:val="auto"/>
          <w:sz w:val="36"/>
          <w:szCs w:val="36"/>
          <w:lang w:val="en-US" w:eastAsia="zh-CN"/>
        </w:rPr>
      </w:pPr>
      <w:r>
        <w:rPr>
          <w:rFonts w:hint="eastAsia" w:ascii="Times New Roman" w:hAnsi="Times New Roman" w:eastAsia="方正小标宋简体" w:cs="Times New Roman"/>
          <w:b w:val="0"/>
          <w:bCs w:val="0"/>
          <w:color w:val="auto"/>
          <w:sz w:val="36"/>
          <w:szCs w:val="36"/>
          <w:lang w:val="en-US" w:eastAsia="zh-CN"/>
        </w:rPr>
        <w:t>鸡东县</w:t>
      </w:r>
      <w:r>
        <w:rPr>
          <w:rFonts w:hint="default" w:ascii="Times New Roman" w:hAnsi="Times New Roman" w:eastAsia="方正小标宋简体" w:cs="Times New Roman"/>
          <w:b w:val="0"/>
          <w:bCs w:val="0"/>
          <w:color w:val="auto"/>
          <w:sz w:val="36"/>
          <w:szCs w:val="36"/>
          <w:lang w:val="en-US" w:eastAsia="zh-CN"/>
        </w:rPr>
        <w:t>人民政府关于调整征地区片综合地价标准的</w:t>
      </w:r>
    </w:p>
    <w:p w14:paraId="7B6E050A">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b w:val="0"/>
          <w:bCs w:val="0"/>
          <w:color w:val="auto"/>
          <w:sz w:val="36"/>
          <w:szCs w:val="36"/>
          <w:lang w:val="en-US" w:eastAsia="zh-CN"/>
        </w:rPr>
      </w:pPr>
      <w:r>
        <w:rPr>
          <w:rFonts w:hint="default" w:ascii="Times New Roman" w:hAnsi="Times New Roman" w:eastAsia="方正小标宋简体" w:cs="Times New Roman"/>
          <w:b w:val="0"/>
          <w:bCs w:val="0"/>
          <w:color w:val="auto"/>
          <w:sz w:val="36"/>
          <w:szCs w:val="36"/>
          <w:lang w:val="en-US" w:eastAsia="zh-CN"/>
        </w:rPr>
        <w:t>通知（征求意见稿）</w:t>
      </w:r>
    </w:p>
    <w:p w14:paraId="2C6D4C38">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各乡镇（街道），各有关部门和单位：</w:t>
      </w:r>
    </w:p>
    <w:p w14:paraId="7F4CFC0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根据《中华人民共和国土地管理法》《黑龙江省人民政府关于印发黑龙江省征地区片综合地价实施办法的通知》（黑政发〔2014〕34号）《黑龙江省重大行政决策程序暂行规定》（黑龙江省人民政府令 第4号）和《关于印发＜2026年黑龙江省征收土地区片综合地价调整或重新公布工作方案＞的通知》（黑自然资发〔2026〕2号）要求，结合</w:t>
      </w:r>
      <w:r>
        <w:rPr>
          <w:rFonts w:hint="eastAsia" w:ascii="Times New Roman" w:hAnsi="Times New Roman" w:eastAsia="仿宋_GB2312" w:cs="Times New Roman"/>
          <w:b w:val="0"/>
          <w:bCs w:val="0"/>
          <w:color w:val="auto"/>
          <w:sz w:val="32"/>
          <w:szCs w:val="32"/>
          <w:lang w:val="en-US" w:eastAsia="zh-CN"/>
        </w:rPr>
        <w:t>我县</w:t>
      </w:r>
      <w:r>
        <w:rPr>
          <w:rFonts w:hint="default" w:ascii="Times New Roman" w:hAnsi="Times New Roman" w:eastAsia="仿宋_GB2312" w:cs="Times New Roman"/>
          <w:b w:val="0"/>
          <w:bCs w:val="0"/>
          <w:color w:val="auto"/>
          <w:sz w:val="32"/>
          <w:szCs w:val="32"/>
          <w:lang w:val="en-US" w:eastAsia="zh-CN"/>
        </w:rPr>
        <w:t>经济社会发展实际情况，现决定调整</w:t>
      </w:r>
      <w:r>
        <w:rPr>
          <w:rFonts w:hint="eastAsia" w:ascii="Times New Roman" w:hAnsi="Times New Roman" w:eastAsia="仿宋_GB2312" w:cs="Times New Roman"/>
          <w:b w:val="0"/>
          <w:bCs w:val="0"/>
          <w:color w:val="auto"/>
          <w:sz w:val="32"/>
          <w:szCs w:val="32"/>
          <w:lang w:val="en-US" w:eastAsia="zh-CN"/>
        </w:rPr>
        <w:t>我县</w:t>
      </w:r>
      <w:r>
        <w:rPr>
          <w:rFonts w:hint="default" w:ascii="Times New Roman" w:hAnsi="Times New Roman" w:eastAsia="仿宋_GB2312" w:cs="Times New Roman"/>
          <w:b w:val="0"/>
          <w:bCs w:val="0"/>
          <w:color w:val="auto"/>
          <w:sz w:val="32"/>
          <w:szCs w:val="32"/>
          <w:lang w:val="en-US" w:eastAsia="zh-CN"/>
        </w:rPr>
        <w:t>征地区片综合地价标准，并将有关事项通知如下：</w:t>
      </w:r>
    </w:p>
    <w:p w14:paraId="35570952">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一、自2026年10月1日起，</w:t>
      </w:r>
      <w:r>
        <w:rPr>
          <w:rFonts w:hint="eastAsia" w:ascii="Times New Roman" w:hAnsi="Times New Roman" w:eastAsia="仿宋_GB2312" w:cs="Times New Roman"/>
          <w:b w:val="0"/>
          <w:bCs w:val="0"/>
          <w:color w:val="auto"/>
          <w:sz w:val="32"/>
          <w:szCs w:val="32"/>
          <w:lang w:val="en-US" w:eastAsia="zh-CN"/>
        </w:rPr>
        <w:t>我县</w:t>
      </w:r>
      <w:r>
        <w:rPr>
          <w:rFonts w:hint="default" w:ascii="Times New Roman" w:hAnsi="Times New Roman" w:eastAsia="仿宋_GB2312" w:cs="Times New Roman"/>
          <w:b w:val="0"/>
          <w:bCs w:val="0"/>
          <w:color w:val="auto"/>
          <w:sz w:val="32"/>
          <w:szCs w:val="32"/>
          <w:lang w:val="en-US" w:eastAsia="zh-CN"/>
        </w:rPr>
        <w:t>征收土地补偿标准按照调整的征地区片综合地价标准执行，具体标准见附表。</w:t>
      </w:r>
    </w:p>
    <w:p w14:paraId="146CF2B6">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二、2026年9月30日以前（含2026年9月30日），已经国务院和省政府批准征收土地的，征收土地补偿按批准的征收土地方案组织落实。</w:t>
      </w:r>
    </w:p>
    <w:p w14:paraId="285489A4">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三、征地区片综合地价是征收农民集体农用地的土地补偿费和安置补助费标准，不包括法律规定用于社会保险缴费补贴的被征地农民社会保障费用</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征收农用地涉及的地上附着物和青苗的补偿费用。按征地区片综合地价确定的补偿，涉及土地承包经营权的耕地的，70%用于安置拥有承包经营权的被征地农民，30%用于持有集体土地所有权的集体经济组织安排基础和公益设施建设、兴办村办企业和被征地农民的生活补助等。征收集体建设用地及未利用地，按照征地区片综合地价予以补偿，征地区片综合地价支付给集体经济组织。</w:t>
      </w:r>
    </w:p>
    <w:p w14:paraId="13E91CF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四、土地征收涉及的地上附着物和青苗等补偿标准，依</w:t>
      </w:r>
    </w:p>
    <w:p w14:paraId="7656AC90">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照公平合理的原则，委托具备资质的资产评估机构评估，按其评估结果予以补偿。</w:t>
      </w:r>
    </w:p>
    <w:p w14:paraId="190BF6F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FF0000"/>
          <w:sz w:val="32"/>
          <w:szCs w:val="32"/>
          <w:lang w:val="en-US" w:eastAsia="zh-CN"/>
        </w:rPr>
      </w:pPr>
      <w:r>
        <w:rPr>
          <w:rFonts w:hint="default" w:ascii="Times New Roman" w:hAnsi="Times New Roman" w:eastAsia="仿宋_GB2312" w:cs="Times New Roman"/>
          <w:b w:val="0"/>
          <w:bCs w:val="0"/>
          <w:color w:val="auto"/>
          <w:sz w:val="32"/>
          <w:szCs w:val="32"/>
          <w:lang w:val="en-US" w:eastAsia="zh-CN"/>
        </w:rPr>
        <w:t>五、过渡期间，要切实做好调整完善前后征地区片综合地价标准的衔接工作，确保平稳有序过渡。</w:t>
      </w:r>
    </w:p>
    <w:p w14:paraId="5913509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六、本通知自2026年10月1日起实施，有效期至2029年9月30日。</w:t>
      </w:r>
    </w:p>
    <w:p w14:paraId="11EFD66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附表：</w:t>
      </w:r>
      <w:r>
        <w:rPr>
          <w:rFonts w:hint="eastAsia" w:ascii="Times New Roman" w:hAnsi="Times New Roman" w:eastAsia="仿宋_GB2312" w:cs="Times New Roman"/>
          <w:b w:val="0"/>
          <w:bCs w:val="0"/>
          <w:color w:val="auto"/>
          <w:sz w:val="32"/>
          <w:szCs w:val="32"/>
          <w:lang w:val="en-US" w:eastAsia="zh-CN"/>
        </w:rPr>
        <w:t>鸡东县</w:t>
      </w:r>
      <w:r>
        <w:rPr>
          <w:rFonts w:hint="default" w:ascii="Times New Roman" w:hAnsi="Times New Roman" w:eastAsia="仿宋_GB2312" w:cs="Times New Roman"/>
          <w:b w:val="0"/>
          <w:bCs w:val="0"/>
          <w:color w:val="auto"/>
          <w:sz w:val="32"/>
          <w:szCs w:val="32"/>
          <w:lang w:val="en-US" w:eastAsia="zh-CN"/>
        </w:rPr>
        <w:t>区片综合地价成果表</w:t>
      </w:r>
    </w:p>
    <w:p w14:paraId="496F7527">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14:paraId="5D8EB9F9">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right"/>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鸡东县</w:t>
      </w:r>
      <w:r>
        <w:rPr>
          <w:rFonts w:hint="default" w:ascii="Times New Roman" w:hAnsi="Times New Roman" w:eastAsia="仿宋_GB2312" w:cs="Times New Roman"/>
          <w:b w:val="0"/>
          <w:bCs w:val="0"/>
          <w:color w:val="auto"/>
          <w:sz w:val="32"/>
          <w:szCs w:val="32"/>
          <w:lang w:val="en-US" w:eastAsia="zh-CN"/>
        </w:rPr>
        <w:t>人民政府</w:t>
      </w:r>
    </w:p>
    <w:p w14:paraId="112FB5D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right"/>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2026年9月30日</w:t>
      </w:r>
    </w:p>
    <w:p w14:paraId="4DDE9358">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4565B4D0">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0B208B21">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0017421B">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7E9A3D71">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64919CD3">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2C92EFE5">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pPr>
    </w:p>
    <w:p w14:paraId="5CD1FDBB">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default" w:ascii="Times New Roman" w:hAnsi="Times New Roman" w:eastAsia="仿宋_GB2312" w:cs="Times New Roman"/>
          <w:b/>
          <w:bCs/>
          <w:color w:val="0070C0"/>
          <w:sz w:val="32"/>
          <w:szCs w:val="32"/>
          <w:lang w:val="en-US" w:eastAsia="zh-CN"/>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6F5CCC53">
      <w:pPr>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宋体" w:cs="Times New Roman"/>
          <w:b/>
          <w:bCs/>
          <w:color w:val="auto"/>
          <w:sz w:val="32"/>
          <w:szCs w:val="32"/>
          <w:lang w:val="en-US" w:eastAsia="zh-CN"/>
        </w:rPr>
      </w:pPr>
      <w:r>
        <w:rPr>
          <w:rFonts w:hint="default" w:ascii="Times New Roman" w:hAnsi="Times New Roman" w:eastAsia="宋体" w:cs="Times New Roman"/>
          <w:b/>
          <w:bCs/>
          <w:color w:val="auto"/>
          <w:sz w:val="32"/>
          <w:szCs w:val="32"/>
          <w:lang w:val="en-US" w:eastAsia="zh-CN"/>
        </w:rPr>
        <w:t>附表</w:t>
      </w:r>
    </w:p>
    <w:p w14:paraId="6D54331B">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鸡东县</w:t>
      </w:r>
      <w:r>
        <w:rPr>
          <w:rFonts w:hint="default" w:ascii="Times New Roman" w:hAnsi="Times New Roman" w:eastAsia="仿宋_GB2312" w:cs="Times New Roman"/>
          <w:b w:val="0"/>
          <w:bCs w:val="0"/>
          <w:color w:val="auto"/>
          <w:sz w:val="32"/>
          <w:szCs w:val="32"/>
          <w:lang w:val="en-US" w:eastAsia="zh-CN"/>
        </w:rPr>
        <w:t>区片综合地价成果表</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940"/>
        <w:gridCol w:w="4094"/>
        <w:gridCol w:w="5277"/>
        <w:gridCol w:w="1303"/>
        <w:gridCol w:w="1180"/>
        <w:gridCol w:w="1183"/>
      </w:tblGrid>
      <w:tr w14:paraId="799E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36" w:type="pct"/>
            <w:vMerge w:val="restart"/>
            <w:noWrap w:val="0"/>
            <w:tcMar>
              <w:top w:w="15" w:type="dxa"/>
              <w:left w:w="15" w:type="dxa"/>
              <w:right w:w="15" w:type="dxa"/>
            </w:tcMar>
            <w:vAlign w:val="center"/>
          </w:tcPr>
          <w:p w14:paraId="12E6C3C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序号</w:t>
            </w:r>
          </w:p>
        </w:tc>
        <w:tc>
          <w:tcPr>
            <w:tcW w:w="1464" w:type="pct"/>
            <w:vMerge w:val="restart"/>
            <w:noWrap w:val="0"/>
            <w:tcMar>
              <w:top w:w="15" w:type="dxa"/>
              <w:left w:w="15" w:type="dxa"/>
              <w:right w:w="15" w:type="dxa"/>
            </w:tcMar>
            <w:vAlign w:val="center"/>
          </w:tcPr>
          <w:p w14:paraId="42193846">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区片编号</w:t>
            </w:r>
          </w:p>
        </w:tc>
        <w:tc>
          <w:tcPr>
            <w:tcW w:w="1887" w:type="pct"/>
            <w:vMerge w:val="restart"/>
            <w:noWrap w:val="0"/>
            <w:tcMar>
              <w:top w:w="15" w:type="dxa"/>
              <w:left w:w="15" w:type="dxa"/>
              <w:right w:w="15" w:type="dxa"/>
            </w:tcMar>
            <w:vAlign w:val="center"/>
          </w:tcPr>
          <w:p w14:paraId="73EE51E3">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区片范围描述</w:t>
            </w:r>
          </w:p>
        </w:tc>
        <w:tc>
          <w:tcPr>
            <w:tcW w:w="466" w:type="pct"/>
            <w:vMerge w:val="restart"/>
            <w:noWrap w:val="0"/>
            <w:tcMar>
              <w:top w:w="15" w:type="dxa"/>
              <w:left w:w="15" w:type="dxa"/>
              <w:right w:w="15" w:type="dxa"/>
            </w:tcMar>
            <w:vAlign w:val="center"/>
          </w:tcPr>
          <w:p w14:paraId="6DAFD7C0">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区片价档次</w:t>
            </w:r>
          </w:p>
        </w:tc>
        <w:tc>
          <w:tcPr>
            <w:tcW w:w="845" w:type="pct"/>
            <w:gridSpan w:val="2"/>
            <w:noWrap w:val="0"/>
            <w:tcMar>
              <w:top w:w="15" w:type="dxa"/>
              <w:left w:w="15" w:type="dxa"/>
              <w:right w:w="15" w:type="dxa"/>
            </w:tcMar>
            <w:vAlign w:val="center"/>
          </w:tcPr>
          <w:p w14:paraId="1755130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区片综合地价</w:t>
            </w:r>
          </w:p>
        </w:tc>
      </w:tr>
      <w:tr w14:paraId="0D54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336" w:type="pct"/>
            <w:vMerge w:val="continue"/>
            <w:noWrap w:val="0"/>
            <w:tcMar>
              <w:top w:w="15" w:type="dxa"/>
              <w:left w:w="15" w:type="dxa"/>
              <w:right w:w="15" w:type="dxa"/>
            </w:tcMar>
            <w:vAlign w:val="center"/>
          </w:tcPr>
          <w:p w14:paraId="0D840F85">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464" w:type="pct"/>
            <w:vMerge w:val="continue"/>
            <w:noWrap w:val="0"/>
            <w:tcMar>
              <w:top w:w="15" w:type="dxa"/>
              <w:left w:w="15" w:type="dxa"/>
              <w:right w:w="15" w:type="dxa"/>
            </w:tcMar>
            <w:vAlign w:val="center"/>
          </w:tcPr>
          <w:p w14:paraId="7134BABD">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887" w:type="pct"/>
            <w:vMerge w:val="continue"/>
            <w:noWrap w:val="0"/>
            <w:tcMar>
              <w:top w:w="15" w:type="dxa"/>
              <w:left w:w="15" w:type="dxa"/>
              <w:right w:w="15" w:type="dxa"/>
            </w:tcMar>
            <w:vAlign w:val="center"/>
          </w:tcPr>
          <w:p w14:paraId="06BE7D5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466" w:type="pct"/>
            <w:vMerge w:val="continue"/>
            <w:noWrap w:val="0"/>
            <w:tcMar>
              <w:top w:w="15" w:type="dxa"/>
              <w:left w:w="15" w:type="dxa"/>
              <w:right w:w="15" w:type="dxa"/>
            </w:tcMar>
            <w:vAlign w:val="center"/>
          </w:tcPr>
          <w:p w14:paraId="472E0A6A">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422" w:type="pct"/>
            <w:noWrap w:val="0"/>
            <w:tcMar>
              <w:top w:w="15" w:type="dxa"/>
              <w:left w:w="15" w:type="dxa"/>
              <w:right w:w="15" w:type="dxa"/>
            </w:tcMar>
            <w:vAlign w:val="center"/>
          </w:tcPr>
          <w:p w14:paraId="05E7FED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元/亩</w:t>
            </w:r>
          </w:p>
        </w:tc>
        <w:tc>
          <w:tcPr>
            <w:tcW w:w="423" w:type="pct"/>
            <w:noWrap w:val="0"/>
            <w:tcMar>
              <w:top w:w="15" w:type="dxa"/>
              <w:left w:w="15" w:type="dxa"/>
              <w:right w:w="15" w:type="dxa"/>
            </w:tcMar>
            <w:vAlign w:val="center"/>
          </w:tcPr>
          <w:p w14:paraId="3B4BA9C1">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元/平方米</w:t>
            </w:r>
          </w:p>
        </w:tc>
      </w:tr>
      <w:tr w14:paraId="2C18E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36" w:type="pct"/>
            <w:noWrap w:val="0"/>
            <w:tcMar>
              <w:top w:w="15" w:type="dxa"/>
              <w:left w:w="15" w:type="dxa"/>
              <w:right w:w="15" w:type="dxa"/>
            </w:tcMar>
            <w:vAlign w:val="center"/>
          </w:tcPr>
          <w:p w14:paraId="11903BC7">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1</w:t>
            </w:r>
          </w:p>
        </w:tc>
        <w:tc>
          <w:tcPr>
            <w:tcW w:w="1464" w:type="pct"/>
            <w:noWrap w:val="0"/>
            <w:tcMar>
              <w:top w:w="15" w:type="dxa"/>
              <w:left w:w="15" w:type="dxa"/>
              <w:right w:w="15" w:type="dxa"/>
            </w:tcMar>
            <w:vAlign w:val="center"/>
          </w:tcPr>
          <w:p w14:paraId="0E02F391">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23032120250001-23032120250008</w:t>
            </w:r>
          </w:p>
        </w:tc>
        <w:tc>
          <w:tcPr>
            <w:tcW w:w="1887" w:type="pct"/>
            <w:noWrap w:val="0"/>
            <w:tcMar>
              <w:top w:w="15" w:type="dxa"/>
              <w:left w:w="15" w:type="dxa"/>
              <w:right w:w="15" w:type="dxa"/>
            </w:tcMar>
            <w:vAlign w:val="center"/>
          </w:tcPr>
          <w:p w14:paraId="53815012">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银东村、银峰村、红胜村、得胜村、新峰村部分</w:t>
            </w:r>
          </w:p>
        </w:tc>
        <w:tc>
          <w:tcPr>
            <w:tcW w:w="466" w:type="pct"/>
            <w:noWrap w:val="0"/>
            <w:tcMar>
              <w:top w:w="15" w:type="dxa"/>
              <w:left w:w="15" w:type="dxa"/>
              <w:right w:w="15" w:type="dxa"/>
            </w:tcMar>
            <w:vAlign w:val="center"/>
          </w:tcPr>
          <w:p w14:paraId="7FCE804E">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Ⅰ</w:t>
            </w:r>
          </w:p>
        </w:tc>
        <w:tc>
          <w:tcPr>
            <w:tcW w:w="422" w:type="pct"/>
            <w:noWrap w:val="0"/>
            <w:tcMar>
              <w:top w:w="15" w:type="dxa"/>
              <w:left w:w="15" w:type="dxa"/>
              <w:right w:w="15" w:type="dxa"/>
            </w:tcMar>
            <w:vAlign w:val="center"/>
          </w:tcPr>
          <w:p w14:paraId="7911229A">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90667</w:t>
            </w:r>
          </w:p>
        </w:tc>
        <w:tc>
          <w:tcPr>
            <w:tcW w:w="423" w:type="pct"/>
            <w:noWrap w:val="0"/>
            <w:tcMar>
              <w:top w:w="15" w:type="dxa"/>
              <w:left w:w="15" w:type="dxa"/>
              <w:right w:w="15" w:type="dxa"/>
            </w:tcMar>
            <w:vAlign w:val="center"/>
          </w:tcPr>
          <w:p w14:paraId="369ED776">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136</w:t>
            </w:r>
          </w:p>
        </w:tc>
      </w:tr>
      <w:tr w14:paraId="5C82C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36" w:type="pct"/>
            <w:noWrap w:val="0"/>
            <w:tcMar>
              <w:top w:w="15" w:type="dxa"/>
              <w:left w:w="15" w:type="dxa"/>
              <w:right w:w="15" w:type="dxa"/>
            </w:tcMar>
            <w:vAlign w:val="center"/>
          </w:tcPr>
          <w:p w14:paraId="60DFA4E8">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2</w:t>
            </w:r>
          </w:p>
        </w:tc>
        <w:tc>
          <w:tcPr>
            <w:tcW w:w="1464" w:type="pct"/>
            <w:noWrap w:val="0"/>
            <w:tcMar>
              <w:top w:w="15" w:type="dxa"/>
              <w:left w:w="15" w:type="dxa"/>
              <w:right w:w="15" w:type="dxa"/>
            </w:tcMar>
            <w:vAlign w:val="center"/>
          </w:tcPr>
          <w:p w14:paraId="1C7AD04C">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23032120250009</w:t>
            </w:r>
          </w:p>
        </w:tc>
        <w:tc>
          <w:tcPr>
            <w:tcW w:w="1887" w:type="pct"/>
            <w:noWrap w:val="0"/>
            <w:tcMar>
              <w:top w:w="15" w:type="dxa"/>
              <w:left w:w="15" w:type="dxa"/>
              <w:right w:w="15" w:type="dxa"/>
            </w:tcMar>
            <w:vAlign w:val="center"/>
          </w:tcPr>
          <w:p w14:paraId="3C6AFD7A">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Style w:val="6"/>
                <w:rFonts w:hint="default" w:ascii="Times New Roman" w:hAnsi="Times New Roman" w:eastAsia="仿宋_GB2312" w:cs="Times New Roman"/>
                <w:lang w:val="en-US" w:eastAsia="zh-CN" w:bidi="ar"/>
              </w:rPr>
              <w:t>鸡东镇除</w:t>
            </w:r>
            <w:r>
              <w:rPr>
                <w:rStyle w:val="7"/>
                <w:rFonts w:hint="default" w:ascii="Times New Roman" w:hAnsi="Times New Roman" w:eastAsia="仿宋_GB2312" w:cs="Times New Roman"/>
                <w:lang w:val="en-US" w:eastAsia="zh-CN" w:bidi="ar"/>
              </w:rPr>
              <w:t>Ⅰ</w:t>
            </w:r>
            <w:r>
              <w:rPr>
                <w:rStyle w:val="6"/>
                <w:rFonts w:hint="default" w:ascii="Times New Roman" w:hAnsi="Times New Roman" w:eastAsia="仿宋_GB2312" w:cs="Times New Roman"/>
                <w:lang w:val="en-US" w:eastAsia="zh-CN" w:bidi="ar"/>
              </w:rPr>
              <w:t>区片范围</w:t>
            </w:r>
          </w:p>
        </w:tc>
        <w:tc>
          <w:tcPr>
            <w:tcW w:w="466" w:type="pct"/>
            <w:noWrap w:val="0"/>
            <w:tcMar>
              <w:top w:w="15" w:type="dxa"/>
              <w:left w:w="15" w:type="dxa"/>
              <w:right w:w="15" w:type="dxa"/>
            </w:tcMar>
            <w:vAlign w:val="center"/>
          </w:tcPr>
          <w:p w14:paraId="24A5F7DC">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Ⅱ</w:t>
            </w:r>
          </w:p>
        </w:tc>
        <w:tc>
          <w:tcPr>
            <w:tcW w:w="422" w:type="pct"/>
            <w:noWrap w:val="0"/>
            <w:tcMar>
              <w:top w:w="15" w:type="dxa"/>
              <w:left w:w="15" w:type="dxa"/>
              <w:right w:w="15" w:type="dxa"/>
            </w:tcMar>
            <w:vAlign w:val="center"/>
          </w:tcPr>
          <w:p w14:paraId="56C2852B">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44667</w:t>
            </w:r>
          </w:p>
        </w:tc>
        <w:tc>
          <w:tcPr>
            <w:tcW w:w="423" w:type="pct"/>
            <w:noWrap w:val="0"/>
            <w:tcMar>
              <w:top w:w="15" w:type="dxa"/>
              <w:left w:w="15" w:type="dxa"/>
              <w:right w:w="15" w:type="dxa"/>
            </w:tcMar>
            <w:vAlign w:val="center"/>
          </w:tcPr>
          <w:p w14:paraId="3987CAC2">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67</w:t>
            </w:r>
          </w:p>
        </w:tc>
      </w:tr>
      <w:tr w14:paraId="3A53E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336" w:type="pct"/>
            <w:noWrap w:val="0"/>
            <w:tcMar>
              <w:top w:w="15" w:type="dxa"/>
              <w:left w:w="15" w:type="dxa"/>
              <w:right w:w="15" w:type="dxa"/>
            </w:tcMar>
            <w:vAlign w:val="center"/>
          </w:tcPr>
          <w:p w14:paraId="24012A2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3</w:t>
            </w:r>
          </w:p>
        </w:tc>
        <w:tc>
          <w:tcPr>
            <w:tcW w:w="1464" w:type="pct"/>
            <w:noWrap w:val="0"/>
            <w:tcMar>
              <w:top w:w="15" w:type="dxa"/>
              <w:left w:w="15" w:type="dxa"/>
              <w:right w:w="15" w:type="dxa"/>
            </w:tcMar>
            <w:vAlign w:val="center"/>
          </w:tcPr>
          <w:p w14:paraId="5FE5398F">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23032120250010</w:t>
            </w:r>
          </w:p>
        </w:tc>
        <w:tc>
          <w:tcPr>
            <w:tcW w:w="1887" w:type="pct"/>
            <w:noWrap w:val="0"/>
            <w:tcMar>
              <w:top w:w="15" w:type="dxa"/>
              <w:left w:w="15" w:type="dxa"/>
              <w:right w:w="15" w:type="dxa"/>
            </w:tcMar>
            <w:vAlign w:val="center"/>
          </w:tcPr>
          <w:p w14:paraId="2A81E47F">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Style w:val="6"/>
                <w:rFonts w:hint="default" w:ascii="Times New Roman" w:hAnsi="Times New Roman" w:eastAsia="仿宋_GB2312" w:cs="Times New Roman"/>
                <w:lang w:val="en-US" w:eastAsia="zh-CN" w:bidi="ar"/>
              </w:rPr>
              <w:t>平阳镇、向阳镇、哈达镇、永安镇、永和镇、东海镇、兴农镇、鸡林乡、明德乡、下亮子乡、八五一零农场</w:t>
            </w:r>
          </w:p>
        </w:tc>
        <w:tc>
          <w:tcPr>
            <w:tcW w:w="466" w:type="pct"/>
            <w:noWrap w:val="0"/>
            <w:tcMar>
              <w:top w:w="15" w:type="dxa"/>
              <w:left w:w="15" w:type="dxa"/>
              <w:right w:w="15" w:type="dxa"/>
            </w:tcMar>
            <w:vAlign w:val="center"/>
          </w:tcPr>
          <w:p w14:paraId="0AE426A4">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Ⅲ</w:t>
            </w:r>
          </w:p>
        </w:tc>
        <w:tc>
          <w:tcPr>
            <w:tcW w:w="422" w:type="pct"/>
            <w:noWrap w:val="0"/>
            <w:tcMar>
              <w:top w:w="15" w:type="dxa"/>
              <w:left w:w="15" w:type="dxa"/>
              <w:right w:w="15" w:type="dxa"/>
            </w:tcMar>
            <w:vAlign w:val="center"/>
          </w:tcPr>
          <w:p w14:paraId="319015F0">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36667</w:t>
            </w:r>
          </w:p>
        </w:tc>
        <w:tc>
          <w:tcPr>
            <w:tcW w:w="423" w:type="pct"/>
            <w:noWrap w:val="0"/>
            <w:tcMar>
              <w:top w:w="15" w:type="dxa"/>
              <w:left w:w="15" w:type="dxa"/>
              <w:right w:w="15" w:type="dxa"/>
            </w:tcMar>
            <w:vAlign w:val="center"/>
          </w:tcPr>
          <w:p w14:paraId="42E61342">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55</w:t>
            </w:r>
          </w:p>
        </w:tc>
      </w:tr>
    </w:tbl>
    <w:p w14:paraId="0B3E2801">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_GB2312">
    <w:altName w:val="Times New Roman"/>
    <w:panose1 w:val="00000000000000000000"/>
    <w:charset w:val="00"/>
    <w:family w:val="auto"/>
    <w:pitch w:val="default"/>
    <w:sig w:usb0="00000000" w:usb1="00000000" w:usb2="00000000" w:usb3="00000000" w:csb0="0000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7AD7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6EB6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B16EB62">
                    <w:pPr>
                      <w:pStyle w:val="3"/>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A8375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99"/>
    <w:pPr>
      <w:spacing w:line="300" w:lineRule="auto"/>
      <w:ind w:firstLine="556"/>
    </w:pPr>
    <w:rPr>
      <w:rFonts w:ascii="??_GB2312" w:eastAsia="Times New Roman"/>
      <w:szCs w:val="20"/>
    </w:rPr>
  </w:style>
  <w:style w:type="paragraph" w:styleId="3">
    <w:name w:val="footer"/>
    <w:basedOn w:val="1"/>
    <w:qFormat/>
    <w:uiPriority w:val="0"/>
    <w:pPr>
      <w:tabs>
        <w:tab w:val="center" w:pos="4153"/>
        <w:tab w:val="right" w:pos="8306"/>
      </w:tabs>
      <w:snapToGrid w:val="0"/>
      <w:jc w:val="left"/>
    </w:pPr>
    <w:rPr>
      <w:sz w:val="18"/>
    </w:rPr>
  </w:style>
  <w:style w:type="character" w:customStyle="1" w:styleId="6">
    <w:name w:val="font11"/>
    <w:basedOn w:val="5"/>
    <w:qFormat/>
    <w:uiPriority w:val="0"/>
    <w:rPr>
      <w:rFonts w:hint="eastAsia" w:ascii="宋体" w:hAnsi="宋体" w:eastAsia="宋体" w:cs="宋体"/>
      <w:color w:val="000000"/>
      <w:sz w:val="21"/>
      <w:szCs w:val="21"/>
      <w:u w:val="none"/>
    </w:rPr>
  </w:style>
  <w:style w:type="character" w:customStyle="1" w:styleId="7">
    <w:name w:val="font21"/>
    <w:basedOn w:val="5"/>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2026-07-24T03:26:12Z</dcterms:created>
  <dc:creator>Administrator</dc:creator>
  <cp:lastModifiedBy>WPS_1757292468</cp:lastModifiedBy>
  <dcterms:modified xsi:type="dcterms:W3CDTF">2026-07-24T03:27:04Z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eyJoZGlkIjoiYjBhMWUyYWU5ZWMwODRiNTVjYzMxZmJlN2FkYmNjNjIiLCJ1c2VySWQiOiIxNzM4OTc1NDgyIn0=</vt:lpwstr>
  </property>
  <property fmtid="{D5CDD505-2E9C-101B-9397-08002B2CF9AE}" pid="4" name="ICV">
    <vt:lpwstr>FC83ABD3EC694658A2780DE06EE63079_12</vt:lpwstr>
  </property>
</Properties>
</file>