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ABA3">
      <w:pPr>
        <w:spacing w:line="20" w:lineRule="exact"/>
        <w:jc w:val="left"/>
        <w:rPr>
          <w:rFonts w:ascii="Times New Roman" w:hAnsi="Times New Roman" w:eastAsia="仿宋" w:cs="Times New Roman"/>
          <w:color w:val="000000" w:themeColor="text1"/>
          <w:kern w:val="0"/>
          <w:sz w:val="32"/>
          <w:szCs w:val="32"/>
          <w14:textFill>
            <w14:solidFill>
              <w14:schemeClr w14:val="tx1"/>
            </w14:solidFill>
          </w14:textFill>
        </w:rPr>
      </w:pPr>
    </w:p>
    <w:p w14:paraId="46922889">
      <w:pPr>
        <w:tabs>
          <w:tab w:val="left" w:pos="1125"/>
        </w:tabs>
        <w:rPr>
          <w:rFonts w:ascii="黑体" w:hAnsi="黑体" w:eastAsia="黑体" w:cs="黑体"/>
          <w:bCs/>
          <w:color w:val="000000" w:themeColor="text1"/>
          <w:sz w:val="44"/>
          <w:szCs w:val="44"/>
          <w14:textFill>
            <w14:solidFill>
              <w14:schemeClr w14:val="tx1"/>
            </w14:solidFill>
          </w14:textFill>
        </w:rPr>
      </w:pPr>
      <w:r>
        <w:rPr>
          <w:rFonts w:ascii="Times New Roman" w:hAnsi="Times New Roman" w:eastAsia="仿宋" w:cs="Times New Roman"/>
          <w:sz w:val="32"/>
          <w:szCs w:val="32"/>
        </w:rPr>
        <w:tab/>
      </w:r>
      <w:r>
        <w:rPr>
          <w:rFonts w:hint="eastAsia" w:ascii="黑体" w:hAnsi="黑体" w:eastAsia="黑体" w:cs="黑体"/>
          <w:bCs/>
          <w:color w:val="000000" w:themeColor="text1"/>
          <w:sz w:val="44"/>
          <w:szCs w:val="44"/>
          <w14:textFill>
            <w14:solidFill>
              <w14:schemeClr w14:val="tx1"/>
            </w14:solidFill>
          </w14:textFill>
        </w:rPr>
        <w:t>鸡东县 202</w:t>
      </w:r>
      <w:r>
        <w:rPr>
          <w:rFonts w:hint="eastAsia" w:ascii="黑体" w:hAnsi="黑体" w:eastAsia="黑体" w:cs="黑体"/>
          <w:bCs/>
          <w:color w:val="000000" w:themeColor="text1"/>
          <w:sz w:val="44"/>
          <w:szCs w:val="44"/>
          <w:lang w:val="en-US" w:eastAsia="zh-CN"/>
          <w14:textFill>
            <w14:solidFill>
              <w14:schemeClr w14:val="tx1"/>
            </w14:solidFill>
          </w14:textFill>
        </w:rPr>
        <w:t>6</w:t>
      </w:r>
      <w:r>
        <w:rPr>
          <w:rFonts w:hint="eastAsia" w:ascii="黑体" w:hAnsi="黑体" w:eastAsia="黑体" w:cs="黑体"/>
          <w:bCs/>
          <w:color w:val="000000" w:themeColor="text1"/>
          <w:sz w:val="44"/>
          <w:szCs w:val="44"/>
          <w14:textFill>
            <w14:solidFill>
              <w14:schemeClr w14:val="tx1"/>
            </w14:solidFill>
          </w14:textFill>
        </w:rPr>
        <w:t>年动物疫病强制免疫</w:t>
      </w:r>
    </w:p>
    <w:p w14:paraId="0D2CF8B8">
      <w:pPr>
        <w:spacing w:line="560" w:lineRule="exact"/>
        <w:jc w:val="center"/>
        <w:rPr>
          <w:rFonts w:ascii="黑体" w:hAnsi="黑体" w:eastAsia="黑体" w:cs="黑体"/>
          <w:bCs/>
          <w:color w:val="000000" w:themeColor="text1"/>
          <w:sz w:val="44"/>
          <w:szCs w:val="44"/>
          <w14:textFill>
            <w14:solidFill>
              <w14:schemeClr w14:val="tx1"/>
            </w14:solidFill>
          </w14:textFill>
        </w:rPr>
      </w:pPr>
      <w:r>
        <w:rPr>
          <w:rFonts w:hint="eastAsia" w:ascii="黑体" w:hAnsi="黑体" w:eastAsia="黑体" w:cs="黑体"/>
          <w:bCs/>
          <w:color w:val="000000" w:themeColor="text1"/>
          <w:sz w:val="44"/>
          <w:szCs w:val="44"/>
          <w14:textFill>
            <w14:solidFill>
              <w14:schemeClr w14:val="tx1"/>
            </w14:solidFill>
          </w14:textFill>
        </w:rPr>
        <w:t>“先打后补”工作实施方案</w:t>
      </w:r>
    </w:p>
    <w:p w14:paraId="49BF23FC">
      <w:pPr>
        <w:spacing w:line="560" w:lineRule="exact"/>
        <w:jc w:val="center"/>
        <w:rPr>
          <w:rFonts w:hint="eastAsia" w:ascii="仿宋" w:hAnsi="仿宋" w:eastAsia="仿宋" w:cs="仿宋"/>
          <w:color w:val="000000" w:themeColor="text1"/>
          <w:spacing w:val="-8"/>
          <w:sz w:val="32"/>
          <w:szCs w:val="32"/>
          <w14:textFill>
            <w14:solidFill>
              <w14:schemeClr w14:val="tx1"/>
            </w14:solidFill>
          </w14:textFill>
        </w:rPr>
      </w:pPr>
      <w:r>
        <w:rPr>
          <w:rFonts w:ascii="宋体" w:hAnsi="宋体"/>
          <w:b/>
          <w:color w:val="FF0000"/>
          <w:spacing w:val="196"/>
          <w:w w:val="80"/>
          <w:kern w:val="32"/>
          <w:sz w:val="112"/>
          <w:szCs w:val="112"/>
        </w:rPr>
        <mc:AlternateContent>
          <mc:Choice Requires="wps">
            <w:drawing>
              <wp:anchor distT="0" distB="0" distL="114300" distR="114300" simplePos="0" relativeHeight="251661312" behindDoc="0" locked="0" layoutInCell="1" allowOverlap="1">
                <wp:simplePos x="0" y="0"/>
                <wp:positionH relativeFrom="column">
                  <wp:posOffset>5938520</wp:posOffset>
                </wp:positionH>
                <wp:positionV relativeFrom="paragraph">
                  <wp:posOffset>259715</wp:posOffset>
                </wp:positionV>
                <wp:extent cx="395605" cy="659765"/>
                <wp:effectExtent l="4445" t="4445" r="19050" b="21590"/>
                <wp:wrapNone/>
                <wp:docPr id="2" name="文本框 2"/>
                <wp:cNvGraphicFramePr/>
                <a:graphic xmlns:a="http://schemas.openxmlformats.org/drawingml/2006/main">
                  <a:graphicData uri="http://schemas.microsoft.com/office/word/2010/wordprocessingShape">
                    <wps:wsp>
                      <wps:cNvSpPr txBox="1"/>
                      <wps:spPr>
                        <a:xfrm>
                          <a:off x="0" y="0"/>
                          <a:ext cx="395605" cy="6597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5C97FAA">
                            <w:pPr>
                              <w:rPr>
                                <w:rFonts w:ascii="宋体" w:hAnsi="宋体"/>
                                <w:b/>
                                <w:color w:val="FF0000"/>
                                <w:w w:val="66"/>
                                <w:sz w:val="132"/>
                                <w:szCs w:val="132"/>
                              </w:rPr>
                            </w:pPr>
                          </w:p>
                        </w:txbxContent>
                      </wps:txbx>
                      <wps:bodyPr upright="1"/>
                    </wps:wsp>
                  </a:graphicData>
                </a:graphic>
              </wp:anchor>
            </w:drawing>
          </mc:Choice>
          <mc:Fallback>
            <w:pict>
              <v:shape id="_x0000_s1026" o:spid="_x0000_s1026" o:spt="202" type="#_x0000_t202" style="position:absolute;left:0pt;margin-left:467.6pt;margin-top:20.45pt;height:51.95pt;width:31.15pt;z-index:251661312;mso-width-relative:page;mso-height-relative:page;" fillcolor="#FFFFFF" filled="t" stroked="t" coordsize="21600,21600" o:gfxdata="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22DBzZAAAACgEAAA8AAAAAAAAAAQAgAAAA&#10;IgAAAGRycy9kb3ducmV2LnhtbFBLAQIUABQAAAAIAIdO4kBCxKPICgIAAEMEAAAOAAAAAAAAAAEA&#10;IAAAACgBAABkcnMvZTJvRG9jLnhtbFBLBQYAAAAABgAGAFkBAACkBQAAAAA=&#10;">
                <v:fill on="t" focussize="0,0"/>
                <v:stroke color="#FFFFFF" joinstyle="miter"/>
                <v:imagedata o:title=""/>
                <o:lock v:ext="edit" aspectratio="f"/>
                <v:textbox>
                  <w:txbxContent>
                    <w:p w14:paraId="55C97FAA">
                      <w:pPr>
                        <w:rPr>
                          <w:rFonts w:ascii="宋体" w:hAnsi="宋体"/>
                          <w:b/>
                          <w:color w:val="FF0000"/>
                          <w:w w:val="66"/>
                          <w:sz w:val="132"/>
                          <w:szCs w:val="132"/>
                        </w:rPr>
                      </w:pPr>
                    </w:p>
                  </w:txbxContent>
                </v:textbox>
              </v:shape>
            </w:pict>
          </mc:Fallback>
        </mc:AlternateContent>
      </w:r>
      <w:r>
        <w:rPr>
          <w:rFonts w:hint="eastAsia" w:ascii="仿宋" w:hAnsi="仿宋" w:eastAsia="仿宋" w:cs="仿宋"/>
          <w:color w:val="000000" w:themeColor="text1"/>
          <w:spacing w:val="-8"/>
          <w:sz w:val="32"/>
          <w:szCs w:val="32"/>
          <w14:textFill>
            <w14:solidFill>
              <w14:schemeClr w14:val="tx1"/>
            </w14:solidFill>
          </w14:textFill>
        </w:rPr>
        <w:t>(征求意见稿)</w:t>
      </w:r>
    </w:p>
    <w:p w14:paraId="4AB00843">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为深入推进动物疫病强制免疫补助政策机制改革，进一步落实养殖者防疫主体责任，提升重大动物疫病防控能力与效果，满足生产经营主体实际需求，适应畜牧业高质量发展要求，根据黑龙江省农业农村厅</w:t>
      </w:r>
      <w:r>
        <w:rPr>
          <w:rFonts w:hint="eastAsia" w:ascii="仿宋" w:hAnsi="仿宋" w:eastAsia="仿宋" w:cs="仿宋"/>
          <w:color w:val="000000" w:themeColor="text1"/>
          <w:kern w:val="0"/>
          <w:sz w:val="32"/>
          <w:szCs w:val="32"/>
          <w14:textFill>
            <w14:solidFill>
              <w14:schemeClr w14:val="tx1"/>
            </w14:solidFill>
          </w14:textFill>
        </w:rPr>
        <w:t>关于印发《黑龙江省20</w:t>
      </w:r>
      <w:r>
        <w:rPr>
          <w:rFonts w:hint="eastAsia" w:ascii="仿宋" w:hAnsi="仿宋" w:eastAsia="仿宋" w:cs="仿宋"/>
          <w:color w:val="000000" w:themeColor="text1"/>
          <w:kern w:val="0"/>
          <w:sz w:val="32"/>
          <w:szCs w:val="32"/>
          <w:lang w:val="en-US" w:eastAsia="zh-CN"/>
          <w14:textFill>
            <w14:solidFill>
              <w14:schemeClr w14:val="tx1"/>
            </w14:solidFill>
          </w14:textFill>
        </w:rPr>
        <w:t>26动物疫病强制免疫“先打后补”工作实施方案</w:t>
      </w:r>
      <w:r>
        <w:rPr>
          <w:rFonts w:hint="eastAsia" w:ascii="仿宋" w:hAnsi="仿宋" w:eastAsia="仿宋" w:cs="仿宋"/>
          <w:color w:val="000000" w:themeColor="text1"/>
          <w:kern w:val="0"/>
          <w:sz w:val="32"/>
          <w:szCs w:val="32"/>
          <w14:textFill>
            <w14:solidFill>
              <w14:schemeClr w14:val="tx1"/>
            </w14:solidFill>
          </w14:textFill>
        </w:rPr>
        <w:t>》的通知（黑农厅</w:t>
      </w:r>
      <w:r>
        <w:rPr>
          <w:rFonts w:hint="eastAsia" w:ascii="仿宋" w:hAnsi="仿宋" w:eastAsia="仿宋" w:cs="仿宋"/>
          <w:color w:val="000000" w:themeColor="text1"/>
          <w:kern w:val="0"/>
          <w:sz w:val="32"/>
          <w:szCs w:val="32"/>
          <w:lang w:val="en-US" w:eastAsia="zh-CN"/>
          <w14:textFill>
            <w14:solidFill>
              <w14:schemeClr w14:val="tx1"/>
            </w14:solidFill>
          </w14:textFill>
        </w:rPr>
        <w:t>函</w:t>
      </w:r>
      <w:r>
        <w:rPr>
          <w:rFonts w:hint="eastAsia" w:ascii="仿宋" w:hAnsi="仿宋" w:eastAsia="仿宋" w:cs="仿宋"/>
          <w:color w:val="000000" w:themeColor="text1"/>
          <w:kern w:val="0"/>
          <w:sz w:val="32"/>
          <w:szCs w:val="32"/>
          <w14:textFill>
            <w14:solidFill>
              <w14:schemeClr w14:val="tx1"/>
            </w14:solidFill>
          </w14:textFill>
        </w:rPr>
        <w:t>〔202</w:t>
      </w: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73</w:t>
      </w:r>
      <w:r>
        <w:rPr>
          <w:rFonts w:hint="eastAsia" w:ascii="仿宋" w:hAnsi="仿宋" w:eastAsia="仿宋" w:cs="仿宋"/>
          <w:color w:val="000000" w:themeColor="text1"/>
          <w:kern w:val="0"/>
          <w:sz w:val="32"/>
          <w:szCs w:val="32"/>
          <w14:textFill>
            <w14:solidFill>
              <w14:schemeClr w14:val="tx1"/>
            </w14:solidFill>
          </w14:textFill>
        </w:rPr>
        <w:t>号）</w:t>
      </w:r>
      <w:r>
        <w:rPr>
          <w:rFonts w:hint="eastAsia" w:ascii="仿宋" w:hAnsi="仿宋" w:eastAsia="仿宋" w:cs="仿宋"/>
          <w:color w:val="000000" w:themeColor="text1"/>
          <w:spacing w:val="-8"/>
          <w:sz w:val="32"/>
          <w:szCs w:val="32"/>
          <w14:textFill>
            <w14:solidFill>
              <w14:schemeClr w14:val="tx1"/>
            </w14:solidFill>
          </w14:textFill>
        </w:rPr>
        <w:t>文件规定，制定本方案。</w:t>
      </w:r>
    </w:p>
    <w:p w14:paraId="289FE257">
      <w:pPr>
        <w:pStyle w:val="9"/>
        <w:numPr>
          <w:ilvl w:val="0"/>
          <w:numId w:val="1"/>
        </w:numPr>
        <w:spacing w:line="560" w:lineRule="exact"/>
        <w:ind w:firstLineChars="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工作目标</w:t>
      </w:r>
    </w:p>
    <w:p w14:paraId="4DEDFC74">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进一步优化完善免疫补助机制与保障措施，强化养殖场户防疫主体责任，提升强制免疫效果和财政资金使用效率。在全</w:t>
      </w:r>
      <w:r>
        <w:rPr>
          <w:rFonts w:hint="eastAsia" w:ascii="仿宋" w:hAnsi="仿宋" w:eastAsia="仿宋" w:cs="仿宋"/>
          <w:color w:val="000000" w:themeColor="text1"/>
          <w:spacing w:val="-8"/>
          <w:sz w:val="32"/>
          <w:szCs w:val="32"/>
          <w:lang w:val="en-US" w:eastAsia="zh-CN"/>
          <w14:textFill>
            <w14:solidFill>
              <w14:schemeClr w14:val="tx1"/>
            </w14:solidFill>
          </w14:textFill>
        </w:rPr>
        <w:t>县</w:t>
      </w:r>
      <w:r>
        <w:rPr>
          <w:rFonts w:hint="eastAsia" w:ascii="仿宋" w:hAnsi="仿宋" w:eastAsia="仿宋" w:cs="仿宋"/>
          <w:color w:val="000000" w:themeColor="text1"/>
          <w:spacing w:val="-8"/>
          <w:sz w:val="32"/>
          <w:szCs w:val="32"/>
          <w14:textFill>
            <w14:solidFill>
              <w14:schemeClr w14:val="tx1"/>
            </w14:solidFill>
          </w14:textFill>
        </w:rPr>
        <w:t>实施强制免疫“先打后补”政策，推行免疫管理信息化，实现强制免疫疫苗(以下简称“疫苗”)补助“自主申报、线上审核”。对符合标准的养殖场户，实行“先打后补”，停止政府采购疫苗供应；对暂不符合标准的养殖场户，继续实行政府采购疫苗供应。鼓励发展第三方兽医社会化服务组织，满足“中小散”养殖户强制免疫服务需求。</w:t>
      </w:r>
    </w:p>
    <w:p w14:paraId="39AD6638">
      <w:pPr>
        <w:pStyle w:val="9"/>
        <w:spacing w:line="560" w:lineRule="exact"/>
        <w:ind w:left="600" w:firstLine="0" w:firstLineChars="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二、工作原则 </w:t>
      </w:r>
    </w:p>
    <w:p w14:paraId="07A327E3">
      <w:pPr>
        <w:spacing w:line="560" w:lineRule="exact"/>
        <w:ind w:firstLine="608" w:firstLineChars="200"/>
        <w:rPr>
          <w:rFonts w:ascii="仿宋" w:hAnsi="仿宋" w:eastAsia="仿宋" w:cs="仿宋"/>
          <w:spacing w:val="-8"/>
          <w:sz w:val="32"/>
          <w:szCs w:val="32"/>
        </w:rPr>
      </w:pPr>
      <w:r>
        <w:rPr>
          <w:rFonts w:hint="eastAsia" w:ascii="仿宋" w:hAnsi="仿宋" w:eastAsia="仿宋" w:cs="仿宋"/>
          <w:color w:val="000000" w:themeColor="text1"/>
          <w:spacing w:val="-8"/>
          <w:sz w:val="32"/>
          <w:szCs w:val="32"/>
          <w14:textFill>
            <w14:solidFill>
              <w14:schemeClr w14:val="tx1"/>
            </w14:solidFill>
          </w14:textFill>
        </w:rPr>
        <w:t>严格落实县级政府属地管理责任，加强财力保障，按照“统筹兼顾、包干使用、缺口自补”原则安排资金，在确保暂不符合“先打后补”条件养殖场户疫苗供应前提下，全面组织做好“先打后补”工作。</w:t>
      </w:r>
      <w:r>
        <w:rPr>
          <w:rFonts w:hint="eastAsia" w:ascii="仿宋" w:hAnsi="仿宋" w:eastAsia="仿宋" w:cs="仿宋"/>
          <w:spacing w:val="-8"/>
          <w:sz w:val="32"/>
          <w:szCs w:val="32"/>
        </w:rPr>
        <w:t>结合本县实际确定“先打后补”补助标准，</w:t>
      </w:r>
      <w:r>
        <w:rPr>
          <w:rFonts w:ascii="仿宋" w:hAnsi="仿宋" w:eastAsia="仿宋" w:cs="仿宋"/>
          <w:spacing w:val="4"/>
          <w:sz w:val="31"/>
          <w:szCs w:val="31"/>
        </w:rPr>
        <w:t>根据资金情况，</w:t>
      </w:r>
      <w:r>
        <w:rPr>
          <w:rFonts w:ascii="仿宋" w:hAnsi="仿宋" w:eastAsia="仿宋" w:cs="仿宋"/>
          <w:spacing w:val="15"/>
          <w:sz w:val="31"/>
          <w:szCs w:val="31"/>
        </w:rPr>
        <w:t>大型养殖</w:t>
      </w:r>
      <w:r>
        <w:rPr>
          <w:rFonts w:hint="eastAsia" w:ascii="仿宋" w:hAnsi="仿宋" w:eastAsia="仿宋" w:cs="仿宋"/>
          <w:spacing w:val="15"/>
          <w:sz w:val="31"/>
          <w:szCs w:val="31"/>
        </w:rPr>
        <w:t>场</w:t>
      </w:r>
      <w:r>
        <w:rPr>
          <w:rFonts w:ascii="仿宋" w:hAnsi="仿宋" w:eastAsia="仿宋" w:cs="仿宋"/>
          <w:spacing w:val="15"/>
          <w:sz w:val="31"/>
          <w:szCs w:val="31"/>
        </w:rPr>
        <w:t>年度补助资金</w:t>
      </w:r>
      <w:r>
        <w:rPr>
          <w:rFonts w:hint="eastAsia" w:ascii="仿宋" w:hAnsi="仿宋" w:eastAsia="仿宋" w:cs="仿宋"/>
          <w:spacing w:val="15"/>
          <w:sz w:val="31"/>
          <w:szCs w:val="31"/>
        </w:rPr>
        <w:t>20万元</w:t>
      </w:r>
      <w:r>
        <w:rPr>
          <w:rFonts w:ascii="仿宋" w:hAnsi="仿宋" w:eastAsia="仿宋" w:cs="仿宋"/>
          <w:spacing w:val="15"/>
          <w:sz w:val="31"/>
          <w:szCs w:val="31"/>
        </w:rPr>
        <w:t>，确保中小养</w:t>
      </w:r>
      <w:r>
        <w:rPr>
          <w:rFonts w:ascii="仿宋" w:hAnsi="仿宋" w:eastAsia="仿宋" w:cs="仿宋"/>
          <w:spacing w:val="4"/>
          <w:sz w:val="31"/>
          <w:szCs w:val="31"/>
        </w:rPr>
        <w:t>殖场户强制免疫补助经费需求。</w:t>
      </w:r>
    </w:p>
    <w:p w14:paraId="12076878">
      <w:pPr>
        <w:pStyle w:val="9"/>
        <w:spacing w:line="560" w:lineRule="exact"/>
        <w:ind w:firstLine="64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三、实施</w:t>
      </w:r>
      <w:r>
        <w:rPr>
          <w:rFonts w:hint="eastAsia" w:ascii="黑体" w:hAnsi="黑体" w:eastAsia="黑体" w:cs="黑体"/>
          <w:color w:val="000000" w:themeColor="text1"/>
          <w:sz w:val="32"/>
          <w:szCs w:val="32"/>
          <w:lang w:val="en-US" w:eastAsia="zh-CN"/>
          <w14:textFill>
            <w14:solidFill>
              <w14:schemeClr w14:val="tx1"/>
            </w14:solidFill>
          </w14:textFill>
        </w:rPr>
        <w:t>主体和</w:t>
      </w:r>
      <w:r>
        <w:rPr>
          <w:rFonts w:hint="eastAsia" w:ascii="黑体" w:hAnsi="黑体" w:eastAsia="黑体" w:cs="黑体"/>
          <w:color w:val="000000" w:themeColor="text1"/>
          <w:sz w:val="32"/>
          <w:szCs w:val="32"/>
          <w14:textFill>
            <w14:solidFill>
              <w14:schemeClr w14:val="tx1"/>
            </w14:solidFill>
          </w14:textFill>
        </w:rPr>
        <w:t>范围</w:t>
      </w:r>
    </w:p>
    <w:p w14:paraId="59248638">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bookmarkStart w:id="0" w:name="_GoBack"/>
      <w:bookmarkEnd w:id="0"/>
      <w:r>
        <w:rPr>
          <w:rFonts w:hint="eastAsia" w:ascii="仿宋" w:hAnsi="仿宋" w:eastAsia="仿宋" w:cs="仿宋"/>
          <w:spacing w:val="-8"/>
          <w:sz w:val="32"/>
          <w:szCs w:val="32"/>
          <w:lang w:val="en-US" w:eastAsia="zh-CN"/>
        </w:rPr>
        <w:t>对养殖规模达到以下标准的养殖场户实施“先打后补”政策：</w:t>
      </w:r>
      <w:r>
        <w:rPr>
          <w:rFonts w:hint="eastAsia" w:ascii="仿宋" w:hAnsi="仿宋" w:eastAsia="仿宋" w:cs="仿宋"/>
          <w:spacing w:val="-8"/>
          <w:sz w:val="32"/>
          <w:szCs w:val="32"/>
        </w:rPr>
        <w:t>生猪年出栏400头及以上；奶牛年存栏50头及以上；肉牛年出栏50头及以上；羊年出栏300</w:t>
      </w:r>
      <w:r>
        <w:rPr>
          <w:rFonts w:hint="eastAsia" w:ascii="仿宋" w:hAnsi="仿宋" w:eastAsia="仿宋" w:cs="仿宋"/>
          <w:spacing w:val="-8"/>
          <w:sz w:val="32"/>
          <w:szCs w:val="32"/>
          <w:lang w:val="en-US" w:eastAsia="zh-CN"/>
        </w:rPr>
        <w:t>只</w:t>
      </w:r>
      <w:r>
        <w:rPr>
          <w:rFonts w:hint="eastAsia" w:ascii="仿宋" w:hAnsi="仿宋" w:eastAsia="仿宋" w:cs="仿宋"/>
          <w:spacing w:val="-8"/>
          <w:sz w:val="32"/>
          <w:szCs w:val="32"/>
        </w:rPr>
        <w:t>及以上；蛋禽年存栏8000只及以上；肉禽年出栏10000只及以上。对</w:t>
      </w:r>
      <w:r>
        <w:rPr>
          <w:rFonts w:hint="eastAsia" w:ascii="仿宋" w:hAnsi="仿宋" w:eastAsia="仿宋" w:cs="仿宋"/>
          <w:color w:val="000000" w:themeColor="text1"/>
          <w:spacing w:val="-8"/>
          <w:sz w:val="32"/>
          <w:szCs w:val="32"/>
          <w14:textFill>
            <w14:solidFill>
              <w14:schemeClr w14:val="tx1"/>
            </w14:solidFill>
          </w14:textFill>
        </w:rPr>
        <w:t>符合标准的养殖场户，一律不再发放政府采购疫苗。符合标准养殖场户，要依法履行饲养畜禽的强制免疫义务，购买国家批准使用的疫苗，按要求主动提交补助申请。不提交补助申请的，视为自动放弃本年度补助经费。</w:t>
      </w:r>
    </w:p>
    <w:p w14:paraId="704B14ED">
      <w:pPr>
        <w:pStyle w:val="9"/>
        <w:spacing w:line="560" w:lineRule="exact"/>
        <w:ind w:firstLine="64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四、实施方式</w:t>
      </w:r>
    </w:p>
    <w:p w14:paraId="7B76812C">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(一)疫苗补助经费按比例下达到县。</w:t>
      </w:r>
      <w:r>
        <w:rPr>
          <w:rFonts w:hint="eastAsia" w:ascii="仿宋" w:hAnsi="仿宋" w:eastAsia="仿宋" w:cs="仿宋"/>
          <w:color w:val="000000" w:themeColor="text1"/>
          <w:spacing w:val="-8"/>
          <w:sz w:val="32"/>
          <w:szCs w:val="32"/>
          <w14:textFill>
            <w14:solidFill>
              <w14:schemeClr w14:val="tx1"/>
            </w14:solidFill>
          </w14:textFill>
        </w:rPr>
        <w:t>省农业农村厅会同省财政厅，在统筹考虑年度中央下达动物防疫补助资金额度基础上，根据省统计局上年度各地畜禽养殖数量并参考县级农业农村部门统计上报数量，将补助资金按比例下达到县,由县级负责结算政府采购疫苗资金和支付养殖场户“先打后补”资金。严格落实重大动物疫病防控政府属地管理责任，对县级疫苗补助资金缺口部分予以安排解决。</w:t>
      </w:r>
    </w:p>
    <w:p w14:paraId="35B6F743">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(二)疫苗招标落实到市、采购落实到县。</w:t>
      </w:r>
      <w:r>
        <w:rPr>
          <w:rFonts w:hint="eastAsia" w:ascii="仿宋" w:hAnsi="仿宋" w:eastAsia="仿宋" w:cs="仿宋"/>
          <w:color w:val="000000" w:themeColor="text1"/>
          <w:spacing w:val="-8"/>
          <w:sz w:val="32"/>
          <w:szCs w:val="32"/>
          <w14:textFill>
            <w14:solidFill>
              <w14:schemeClr w14:val="tx1"/>
            </w14:solidFill>
          </w14:textFill>
        </w:rPr>
        <w:t>对目前暂不符合 “先打后补”标准</w:t>
      </w:r>
      <w:r>
        <w:rPr>
          <w:rFonts w:hint="eastAsia" w:ascii="仿宋" w:hAnsi="仿宋" w:eastAsia="仿宋" w:cs="仿宋"/>
          <w:spacing w:val="-8"/>
          <w:sz w:val="32"/>
          <w:szCs w:val="32"/>
        </w:rPr>
        <w:t>且无兽医社会化服务组织提供免疫服务的</w:t>
      </w:r>
      <w:r>
        <w:rPr>
          <w:rFonts w:hint="eastAsia" w:ascii="仿宋" w:hAnsi="仿宋" w:eastAsia="仿宋" w:cs="仿宋"/>
          <w:color w:val="000000" w:themeColor="text1"/>
          <w:spacing w:val="-8"/>
          <w:sz w:val="32"/>
          <w:szCs w:val="32"/>
          <w14:textFill>
            <w14:solidFill>
              <w14:schemeClr w14:val="tx1"/>
            </w14:solidFill>
          </w14:textFill>
        </w:rPr>
        <w:t>养殖场户，所需疫苗继续实施政府招标采购和发放。继续实行市农业农村局招标确定中标疫苗生产企业、疫苗价格，划定供应区域，县级据实采购并结算疫苗资金的疫苗采购供应方式。</w:t>
      </w:r>
    </w:p>
    <w:p w14:paraId="10725470">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(三)疫苗“先打后补”组织实施在县。</w:t>
      </w:r>
      <w:r>
        <w:rPr>
          <w:rFonts w:hint="eastAsia" w:ascii="仿宋" w:hAnsi="仿宋" w:eastAsia="仿宋" w:cs="仿宋"/>
          <w:color w:val="000000" w:themeColor="text1"/>
          <w:spacing w:val="-8"/>
          <w:sz w:val="32"/>
          <w:szCs w:val="32"/>
          <w14:textFill>
            <w14:solidFill>
              <w14:schemeClr w14:val="tx1"/>
            </w14:solidFill>
          </w14:textFill>
        </w:rPr>
        <w:t>县农业农村局组织符合标准的养殖场户（以下简称“先打后补”主体）开展“先打后补”,</w:t>
      </w:r>
      <w:r>
        <w:rPr>
          <w:rFonts w:ascii="仿宋" w:hAnsi="仿宋" w:eastAsia="仿宋" w:cs="仿宋"/>
          <w:spacing w:val="4"/>
          <w:sz w:val="32"/>
          <w:szCs w:val="32"/>
        </w:rPr>
        <w:t>“先打后补”主体</w:t>
      </w:r>
      <w:r>
        <w:rPr>
          <w:rFonts w:hint="eastAsia" w:ascii="仿宋" w:hAnsi="仿宋" w:eastAsia="仿宋" w:cs="仿宋"/>
          <w:color w:val="000000" w:themeColor="text1"/>
          <w:spacing w:val="-8"/>
          <w:sz w:val="32"/>
          <w:szCs w:val="32"/>
          <w14:textFill>
            <w14:solidFill>
              <w14:schemeClr w14:val="tx1"/>
            </w14:solidFill>
          </w14:textFill>
        </w:rPr>
        <w:t>自主选购国家批准的疫苗，自行开展免疫接种。县农业农村局制定鸡东县“先打后补”实施方案，落实好“先打后补”政策，使用好补助资金，确保做到政策合理、审核严格、公开公正。</w:t>
      </w:r>
    </w:p>
    <w:p w14:paraId="2A7394F2">
      <w:pPr>
        <w:spacing w:line="560" w:lineRule="exact"/>
        <w:ind w:firstLine="608"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pacing w:val="-8"/>
          <w:sz w:val="32"/>
          <w:szCs w:val="32"/>
          <w14:textFill>
            <w14:solidFill>
              <w14:schemeClr w14:val="tx1"/>
            </w14:solidFill>
          </w14:textFill>
        </w:rPr>
        <w:t>五、</w:t>
      </w:r>
      <w:r>
        <w:rPr>
          <w:rFonts w:hint="eastAsia" w:ascii="黑体" w:hAnsi="黑体" w:eastAsia="黑体" w:cs="黑体"/>
          <w:color w:val="000000" w:themeColor="text1"/>
          <w:spacing w:val="-62"/>
          <w:sz w:val="32"/>
          <w:szCs w:val="32"/>
          <w14:textFill>
            <w14:solidFill>
              <w14:schemeClr w14:val="tx1"/>
            </w14:solidFill>
          </w14:textFill>
        </w:rPr>
        <w:t xml:space="preserve"> </w:t>
      </w:r>
      <w:r>
        <w:rPr>
          <w:rFonts w:hint="eastAsia" w:ascii="黑体" w:hAnsi="黑体" w:eastAsia="黑体" w:cs="黑体"/>
          <w:color w:val="000000" w:themeColor="text1"/>
          <w:spacing w:val="-8"/>
          <w:sz w:val="32"/>
          <w:szCs w:val="32"/>
          <w14:textFill>
            <w14:solidFill>
              <w14:schemeClr w14:val="tx1"/>
            </w14:solidFill>
          </w14:textFill>
        </w:rPr>
        <w:t>补助内容</w:t>
      </w:r>
    </w:p>
    <w:p w14:paraId="15DA7F4D">
      <w:pPr>
        <w:spacing w:line="560" w:lineRule="exact"/>
        <w:ind w:firstLine="611" w:firstLineChars="20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(一)补助畜种</w:t>
      </w:r>
    </w:p>
    <w:p w14:paraId="2910EB6F">
      <w:pPr>
        <w:spacing w:line="560" w:lineRule="exact"/>
        <w:ind w:firstLine="68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猪、牛、羊、禽。</w:t>
      </w:r>
    </w:p>
    <w:p w14:paraId="021A4F88">
      <w:pPr>
        <w:numPr>
          <w:ilvl w:val="0"/>
          <w:numId w:val="2"/>
        </w:numPr>
        <w:spacing w:line="560" w:lineRule="exact"/>
        <w:ind w:firstLine="611" w:firstLineChars="20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补助病种</w:t>
      </w:r>
    </w:p>
    <w:p w14:paraId="01C08B7C">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对</w:t>
      </w:r>
      <w:r>
        <w:rPr>
          <w:rFonts w:hint="eastAsia" w:ascii="仿宋" w:hAnsi="仿宋" w:eastAsia="仿宋" w:cs="仿宋"/>
          <w:color w:val="000000" w:themeColor="text1"/>
          <w:spacing w:val="-8"/>
          <w:sz w:val="32"/>
          <w:szCs w:val="32"/>
          <w:lang w:val="en-US" w:eastAsia="zh-CN"/>
          <w14:textFill>
            <w14:solidFill>
              <w14:schemeClr w14:val="tx1"/>
            </w14:solidFill>
          </w14:textFill>
        </w:rPr>
        <w:t>强制免疫病种</w:t>
      </w:r>
      <w:r>
        <w:rPr>
          <w:rFonts w:hint="eastAsia" w:ascii="仿宋" w:hAnsi="仿宋" w:eastAsia="仿宋" w:cs="仿宋"/>
          <w:color w:val="000000" w:themeColor="text1"/>
          <w:spacing w:val="-8"/>
          <w:sz w:val="32"/>
          <w:szCs w:val="32"/>
          <w14:textFill>
            <w14:solidFill>
              <w14:schemeClr w14:val="tx1"/>
            </w14:solidFill>
          </w14:textFill>
        </w:rPr>
        <w:t>予以疫苗补助，补助的具体病种和疫苗品种按照黑龙江省动物疫病强制免疫指导意见和免疫技术指南规定执行。使用猪口蹄疫O型-A型二价疫苗的，参照猪口蹄疫O型疫苗补助价格予以补助。</w:t>
      </w:r>
    </w:p>
    <w:p w14:paraId="2149A38C">
      <w:pPr>
        <w:numPr>
          <w:ilvl w:val="0"/>
          <w:numId w:val="2"/>
        </w:numPr>
        <w:spacing w:line="560" w:lineRule="exact"/>
        <w:ind w:right="40" w:firstLine="611" w:firstLineChars="20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补助标准</w:t>
      </w:r>
    </w:p>
    <w:p w14:paraId="172FEF13">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以“智慧龙牧”平台“先打后补”系统核定的畜禽免疫数量为依据，按照畜禽年度免疫所用疫苗数量来计算补助金额。同批次畜禽免疫单一病种疫苗年度补助金额计算公式如下：</w:t>
      </w:r>
    </w:p>
    <w:p w14:paraId="5DA00762">
      <w:pPr>
        <w:spacing w:line="560" w:lineRule="exact"/>
        <w:ind w:firstLine="608" w:firstLineChars="200"/>
        <w:rPr>
          <w:rFonts w:hint="eastAsia"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畜禽补助金额(元)=疫苗补助价格(元/毫升/头份)×免疫剂量×免疫次数×免疫畜禽数量。</w:t>
      </w:r>
    </w:p>
    <w:p w14:paraId="5996EB71">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疫苗补助价格，不超过“先打后补"实施主体购买疫苗价格。</w:t>
      </w:r>
    </w:p>
    <w:p w14:paraId="3885D497">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免疫剂量参照疫苗使用说明书的规定测算；免疫次数参照黑龙江省</w:t>
      </w:r>
      <w:r>
        <w:rPr>
          <w:rFonts w:hint="eastAsia" w:ascii="仿宋" w:hAnsi="仿宋" w:eastAsia="仿宋" w:cs="仿宋"/>
          <w:color w:val="000000" w:themeColor="text1"/>
          <w:spacing w:val="-8"/>
          <w:sz w:val="32"/>
          <w:szCs w:val="32"/>
          <w:lang w:val="en-US" w:eastAsia="zh-CN"/>
          <w14:textFill>
            <w14:solidFill>
              <w14:schemeClr w14:val="tx1"/>
            </w14:solidFill>
          </w14:textFill>
        </w:rPr>
        <w:t>动物疫病</w:t>
      </w:r>
      <w:r>
        <w:rPr>
          <w:rFonts w:hint="eastAsia" w:ascii="仿宋" w:hAnsi="仿宋" w:eastAsia="仿宋" w:cs="仿宋"/>
          <w:color w:val="000000" w:themeColor="text1"/>
          <w:spacing w:val="-8"/>
          <w:sz w:val="32"/>
          <w:szCs w:val="32"/>
          <w14:textFill>
            <w14:solidFill>
              <w14:schemeClr w14:val="tx1"/>
            </w14:solidFill>
          </w14:textFill>
        </w:rPr>
        <w:t>免疫技术</w:t>
      </w:r>
      <w:r>
        <w:rPr>
          <w:rFonts w:hint="eastAsia" w:ascii="仿宋" w:hAnsi="仿宋" w:eastAsia="仿宋" w:cs="仿宋"/>
          <w:color w:val="000000" w:themeColor="text1"/>
          <w:spacing w:val="-8"/>
          <w:sz w:val="32"/>
          <w:szCs w:val="32"/>
          <w:lang w:val="en-US" w:eastAsia="zh-CN"/>
          <w14:textFill>
            <w14:solidFill>
              <w14:schemeClr w14:val="tx1"/>
            </w14:solidFill>
          </w14:textFill>
        </w:rPr>
        <w:t>指南</w:t>
      </w:r>
      <w:r>
        <w:rPr>
          <w:rFonts w:hint="eastAsia" w:ascii="仿宋" w:hAnsi="仿宋" w:eastAsia="仿宋" w:cs="仿宋"/>
          <w:color w:val="000000" w:themeColor="text1"/>
          <w:spacing w:val="-8"/>
          <w:sz w:val="32"/>
          <w:szCs w:val="32"/>
          <w14:textFill>
            <w14:solidFill>
              <w14:schemeClr w14:val="tx1"/>
            </w14:solidFill>
          </w14:textFill>
        </w:rPr>
        <w:t>推荐免疫程序测算，同批次畜禽免疫次数原则上不应超过推荐免疫程序规定。</w:t>
      </w:r>
    </w:p>
    <w:p w14:paraId="2304DC5A">
      <w:pPr>
        <w:spacing w:line="560" w:lineRule="exact"/>
        <w:ind w:right="40" w:firstLine="611" w:firstLineChars="20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(四)免疫计数</w:t>
      </w:r>
    </w:p>
    <w:p w14:paraId="710511EB">
      <w:pPr>
        <w:spacing w:line="560" w:lineRule="exact"/>
        <w:ind w:firstLine="608" w:firstLineChars="200"/>
        <w:rPr>
          <w:rFonts w:hint="eastAsia"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先打后补"主体为规模养殖场户的，免疫数量原则上以“智慧龙牧"平台注册存栏数据为依据，必要时进行现场核查。上述数据分别与“智慧龙牧”平台“先打后补”系统核定的“先打后补"主体“智慧龙牧”手机APP“免疫录入”的疫苗可免疫畜禽数量比较，取最小值核定免疫畜禽数量。</w:t>
      </w:r>
    </w:p>
    <w:p w14:paraId="72E57EEA">
      <w:pPr>
        <w:spacing w:before="79" w:line="222" w:lineRule="auto"/>
        <w:ind w:left="814"/>
        <w:outlineLvl w:val="0"/>
        <w:rPr>
          <w:rFonts w:ascii="黑体" w:hAnsi="黑体" w:eastAsia="黑体" w:cs="黑体"/>
          <w:sz w:val="32"/>
          <w:szCs w:val="32"/>
        </w:rPr>
      </w:pPr>
      <w:r>
        <w:rPr>
          <w:rFonts w:hint="eastAsia" w:ascii="黑体" w:hAnsi="黑体" w:eastAsia="黑体" w:cs="黑体"/>
          <w:spacing w:val="11"/>
          <w:sz w:val="32"/>
          <w:szCs w:val="32"/>
        </w:rPr>
        <w:t>六、补助时限</w:t>
      </w:r>
    </w:p>
    <w:p w14:paraId="214A5C61">
      <w:pPr>
        <w:spacing w:line="560" w:lineRule="exact"/>
        <w:ind w:right="74" w:firstLine="687" w:firstLineChars="200"/>
        <w:rPr>
          <w:rFonts w:ascii="仿宋" w:hAnsi="仿宋" w:eastAsia="仿宋" w:cs="仿宋"/>
          <w:b/>
          <w:bCs/>
          <w:spacing w:val="11"/>
          <w:sz w:val="32"/>
          <w:szCs w:val="32"/>
        </w:rPr>
      </w:pPr>
      <w:r>
        <w:rPr>
          <w:rFonts w:hint="eastAsia" w:ascii="仿宋" w:hAnsi="仿宋" w:eastAsia="仿宋" w:cs="仿宋"/>
          <w:b/>
          <w:bCs/>
          <w:spacing w:val="11"/>
          <w:sz w:val="32"/>
          <w:szCs w:val="32"/>
        </w:rPr>
        <w:t>（一)补助起止时限</w:t>
      </w:r>
    </w:p>
    <w:p w14:paraId="7E7D33DF">
      <w:pPr>
        <w:spacing w:line="560" w:lineRule="exact"/>
        <w:ind w:firstLine="68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对202</w:t>
      </w:r>
      <w:r>
        <w:rPr>
          <w:rFonts w:hint="eastAsia" w:ascii="仿宋" w:hAnsi="仿宋" w:eastAsia="仿宋" w:cs="仿宋"/>
          <w:color w:val="000000" w:themeColor="text1"/>
          <w:spacing w:val="-8"/>
          <w:sz w:val="32"/>
          <w:szCs w:val="32"/>
          <w:lang w:val="en-US" w:eastAsia="zh-CN"/>
          <w14:textFill>
            <w14:solidFill>
              <w14:schemeClr w14:val="tx1"/>
            </w14:solidFill>
          </w14:textFill>
        </w:rPr>
        <w:t>5</w:t>
      </w:r>
      <w:r>
        <w:rPr>
          <w:rFonts w:hint="eastAsia" w:ascii="仿宋" w:hAnsi="仿宋" w:eastAsia="仿宋" w:cs="仿宋"/>
          <w:color w:val="000000" w:themeColor="text1"/>
          <w:spacing w:val="-8"/>
          <w:sz w:val="32"/>
          <w:szCs w:val="32"/>
          <w14:textFill>
            <w14:solidFill>
              <w14:schemeClr w14:val="tx1"/>
            </w14:solidFill>
          </w14:textFill>
        </w:rPr>
        <w:t>年11月1日至202</w:t>
      </w:r>
      <w:r>
        <w:rPr>
          <w:rFonts w:hint="eastAsia" w:ascii="仿宋" w:hAnsi="仿宋" w:eastAsia="仿宋" w:cs="仿宋"/>
          <w:color w:val="000000" w:themeColor="text1"/>
          <w:spacing w:val="-8"/>
          <w:sz w:val="32"/>
          <w:szCs w:val="32"/>
          <w:lang w:val="en-US" w:eastAsia="zh-CN"/>
          <w14:textFill>
            <w14:solidFill>
              <w14:schemeClr w14:val="tx1"/>
            </w14:solidFill>
          </w14:textFill>
        </w:rPr>
        <w:t>6</w:t>
      </w:r>
      <w:r>
        <w:rPr>
          <w:rFonts w:hint="eastAsia" w:ascii="仿宋" w:hAnsi="仿宋" w:eastAsia="仿宋" w:cs="仿宋"/>
          <w:color w:val="000000" w:themeColor="text1"/>
          <w:spacing w:val="-8"/>
          <w:sz w:val="32"/>
          <w:szCs w:val="32"/>
          <w14:textFill>
            <w14:solidFill>
              <w14:schemeClr w14:val="tx1"/>
            </w14:solidFill>
          </w14:textFill>
        </w:rPr>
        <w:t>年</w:t>
      </w:r>
      <w:r>
        <w:rPr>
          <w:rFonts w:hint="eastAsia" w:ascii="仿宋" w:hAnsi="仿宋" w:eastAsia="仿宋" w:cs="仿宋"/>
          <w:color w:val="000000" w:themeColor="text1"/>
          <w:spacing w:val="-8"/>
          <w:sz w:val="32"/>
          <w:szCs w:val="32"/>
          <w:lang w:val="en-US" w:eastAsia="zh-CN"/>
          <w14:textFill>
            <w14:solidFill>
              <w14:schemeClr w14:val="tx1"/>
            </w14:solidFill>
          </w14:textFill>
        </w:rPr>
        <w:t>7</w:t>
      </w:r>
      <w:r>
        <w:rPr>
          <w:rFonts w:hint="eastAsia" w:ascii="仿宋" w:hAnsi="仿宋" w:eastAsia="仿宋" w:cs="仿宋"/>
          <w:color w:val="000000" w:themeColor="text1"/>
          <w:spacing w:val="-8"/>
          <w:sz w:val="32"/>
          <w:szCs w:val="32"/>
          <w14:textFill>
            <w14:solidFill>
              <w14:schemeClr w14:val="tx1"/>
            </w14:solidFill>
          </w14:textFill>
        </w:rPr>
        <w:t>月31日期间，实施免疫的畜禽给予疫苗补助。</w:t>
      </w:r>
    </w:p>
    <w:p w14:paraId="6466E16E">
      <w:pPr>
        <w:spacing w:line="560" w:lineRule="exact"/>
        <w:ind w:right="74" w:firstLine="687" w:firstLineChars="200"/>
        <w:rPr>
          <w:rFonts w:ascii="仿宋" w:hAnsi="仿宋" w:eastAsia="仿宋" w:cs="仿宋"/>
          <w:b/>
          <w:bCs/>
          <w:spacing w:val="11"/>
          <w:sz w:val="32"/>
          <w:szCs w:val="32"/>
        </w:rPr>
      </w:pPr>
      <w:r>
        <w:rPr>
          <w:rFonts w:hint="eastAsia" w:ascii="仿宋" w:hAnsi="仿宋" w:eastAsia="仿宋" w:cs="仿宋"/>
          <w:b/>
          <w:bCs/>
          <w:spacing w:val="11"/>
          <w:sz w:val="32"/>
          <w:szCs w:val="32"/>
        </w:rPr>
        <w:t>(二)补助申请时限</w:t>
      </w:r>
    </w:p>
    <w:p w14:paraId="11B78508">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spacing w:val="-8"/>
          <w:sz w:val="32"/>
          <w:szCs w:val="32"/>
        </w:rPr>
        <w:t>“先打后补”主体须在202</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rPr>
        <w:t>年</w:t>
      </w:r>
      <w:r>
        <w:rPr>
          <w:rFonts w:hint="eastAsia" w:ascii="仿宋" w:hAnsi="仿宋" w:eastAsia="仿宋" w:cs="仿宋"/>
          <w:spacing w:val="-8"/>
          <w:sz w:val="32"/>
          <w:szCs w:val="32"/>
          <w:lang w:val="en-US" w:eastAsia="zh-CN"/>
        </w:rPr>
        <w:t>8</w:t>
      </w:r>
      <w:r>
        <w:rPr>
          <w:rFonts w:hint="eastAsia" w:ascii="仿宋" w:hAnsi="仿宋" w:eastAsia="仿宋" w:cs="仿宋"/>
          <w:spacing w:val="-8"/>
          <w:sz w:val="32"/>
          <w:szCs w:val="32"/>
        </w:rPr>
        <w:t>月</w:t>
      </w:r>
      <w:r>
        <w:rPr>
          <w:rFonts w:hint="eastAsia" w:ascii="仿宋" w:hAnsi="仿宋" w:eastAsia="仿宋" w:cs="仿宋"/>
          <w:spacing w:val="-8"/>
          <w:sz w:val="32"/>
          <w:szCs w:val="32"/>
          <w:lang w:val="en-US" w:eastAsia="zh-CN"/>
        </w:rPr>
        <w:t>20</w:t>
      </w:r>
      <w:r>
        <w:rPr>
          <w:rFonts w:hint="eastAsia" w:ascii="仿宋" w:hAnsi="仿宋" w:eastAsia="仿宋" w:cs="仿宋"/>
          <w:spacing w:val="-8"/>
          <w:sz w:val="32"/>
          <w:szCs w:val="32"/>
        </w:rPr>
        <w:t>日前</w:t>
      </w:r>
      <w:r>
        <w:rPr>
          <w:rFonts w:hint="eastAsia" w:ascii="仿宋" w:hAnsi="仿宋" w:eastAsia="仿宋" w:cs="仿宋"/>
          <w:color w:val="000000" w:themeColor="text1"/>
          <w:spacing w:val="-8"/>
          <w:sz w:val="32"/>
          <w:szCs w:val="32"/>
          <w14:textFill>
            <w14:solidFill>
              <w14:schemeClr w14:val="tx1"/>
            </w14:solidFill>
          </w14:textFill>
        </w:rPr>
        <w:t>，通过“智慧龙牧”手机APP填报提交202</w:t>
      </w:r>
      <w:r>
        <w:rPr>
          <w:rFonts w:hint="eastAsia" w:ascii="仿宋" w:hAnsi="仿宋" w:eastAsia="仿宋" w:cs="仿宋"/>
          <w:color w:val="000000" w:themeColor="text1"/>
          <w:spacing w:val="-8"/>
          <w:sz w:val="32"/>
          <w:szCs w:val="32"/>
          <w:lang w:val="en-US" w:eastAsia="zh-CN"/>
          <w14:textFill>
            <w14:solidFill>
              <w14:schemeClr w14:val="tx1"/>
            </w14:solidFill>
          </w14:textFill>
        </w:rPr>
        <w:t>6</w:t>
      </w:r>
      <w:r>
        <w:rPr>
          <w:rFonts w:hint="eastAsia" w:ascii="仿宋" w:hAnsi="仿宋" w:eastAsia="仿宋" w:cs="仿宋"/>
          <w:color w:val="000000" w:themeColor="text1"/>
          <w:spacing w:val="-8"/>
          <w:sz w:val="32"/>
          <w:szCs w:val="32"/>
          <w14:textFill>
            <w14:solidFill>
              <w14:schemeClr w14:val="tx1"/>
            </w14:solidFill>
          </w14:textFill>
        </w:rPr>
        <w:t>年度“先打后补”补助申请。</w:t>
      </w:r>
    </w:p>
    <w:p w14:paraId="065F170F">
      <w:pPr>
        <w:spacing w:line="560" w:lineRule="exact"/>
        <w:ind w:right="74" w:firstLine="687" w:firstLineChars="200"/>
        <w:rPr>
          <w:rFonts w:ascii="仿宋" w:hAnsi="仿宋" w:eastAsia="仿宋" w:cs="仿宋"/>
          <w:b/>
          <w:bCs/>
          <w:spacing w:val="11"/>
          <w:sz w:val="32"/>
          <w:szCs w:val="32"/>
        </w:rPr>
      </w:pPr>
      <w:r>
        <w:rPr>
          <w:rFonts w:hint="eastAsia" w:ascii="仿宋" w:hAnsi="仿宋" w:eastAsia="仿宋" w:cs="仿宋"/>
          <w:b/>
          <w:bCs/>
          <w:spacing w:val="11"/>
          <w:sz w:val="32"/>
          <w:szCs w:val="32"/>
        </w:rPr>
        <w:t>(三)补助发放时限</w:t>
      </w:r>
    </w:p>
    <w:p w14:paraId="3B15954A">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县级应于202</w:t>
      </w:r>
      <w:r>
        <w:rPr>
          <w:rFonts w:hint="eastAsia" w:ascii="仿宋" w:hAnsi="仿宋" w:eastAsia="仿宋" w:cs="仿宋"/>
          <w:color w:val="000000" w:themeColor="text1"/>
          <w:spacing w:val="-8"/>
          <w:sz w:val="32"/>
          <w:szCs w:val="32"/>
          <w:lang w:val="en-US" w:eastAsia="zh-CN"/>
          <w14:textFill>
            <w14:solidFill>
              <w14:schemeClr w14:val="tx1"/>
            </w14:solidFill>
          </w14:textFill>
        </w:rPr>
        <w:t>6</w:t>
      </w:r>
      <w:r>
        <w:rPr>
          <w:rFonts w:hint="eastAsia" w:ascii="仿宋" w:hAnsi="仿宋" w:eastAsia="仿宋" w:cs="仿宋"/>
          <w:color w:val="000000" w:themeColor="text1"/>
          <w:spacing w:val="-8"/>
          <w:sz w:val="32"/>
          <w:szCs w:val="32"/>
          <w14:textFill>
            <w14:solidFill>
              <w14:schemeClr w14:val="tx1"/>
            </w14:solidFill>
          </w14:textFill>
        </w:rPr>
        <w:t>年</w:t>
      </w:r>
      <w:r>
        <w:rPr>
          <w:rFonts w:hint="eastAsia" w:ascii="仿宋" w:hAnsi="仿宋" w:eastAsia="仿宋" w:cs="仿宋"/>
          <w:color w:val="000000" w:themeColor="text1"/>
          <w:spacing w:val="-8"/>
          <w:sz w:val="32"/>
          <w:szCs w:val="32"/>
          <w:lang w:val="en-US" w:eastAsia="zh-CN"/>
          <w14:textFill>
            <w14:solidFill>
              <w14:schemeClr w14:val="tx1"/>
            </w14:solidFill>
          </w14:textFill>
        </w:rPr>
        <w:t>9</w:t>
      </w:r>
      <w:r>
        <w:rPr>
          <w:rFonts w:hint="eastAsia" w:ascii="仿宋" w:hAnsi="仿宋" w:eastAsia="仿宋" w:cs="仿宋"/>
          <w:color w:val="000000" w:themeColor="text1"/>
          <w:spacing w:val="-8"/>
          <w:sz w:val="32"/>
          <w:szCs w:val="32"/>
          <w14:textFill>
            <w14:solidFill>
              <w14:schemeClr w14:val="tx1"/>
            </w14:solidFill>
          </w14:textFill>
        </w:rPr>
        <w:t>月20日前，将“先打后补”补助资金发放到位。</w:t>
      </w:r>
    </w:p>
    <w:p w14:paraId="3E5D4FB0">
      <w:pPr>
        <w:spacing w:before="67" w:line="221" w:lineRule="auto"/>
        <w:ind w:firstLine="700" w:firstLineChars="200"/>
        <w:outlineLvl w:val="0"/>
        <w:rPr>
          <w:rFonts w:ascii="黑体" w:hAnsi="黑体" w:eastAsia="黑体" w:cs="黑体"/>
          <w:sz w:val="32"/>
          <w:szCs w:val="32"/>
        </w:rPr>
      </w:pPr>
      <w:r>
        <w:rPr>
          <w:rFonts w:hint="eastAsia" w:ascii="黑体" w:hAnsi="黑体" w:eastAsia="黑体" w:cs="黑体"/>
          <w:spacing w:val="15"/>
          <w:sz w:val="32"/>
          <w:szCs w:val="32"/>
        </w:rPr>
        <w:t>七、补助流程</w:t>
      </w:r>
    </w:p>
    <w:p w14:paraId="2D52097F">
      <w:pPr>
        <w:spacing w:line="560" w:lineRule="exact"/>
        <w:ind w:firstLine="68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“先打后补”工作流程通过“智慧龙牧”信息化管理平台操作完成，实行“先打后补”主体自主申报、在线审核。</w:t>
      </w:r>
    </w:p>
    <w:p w14:paraId="78AB6F1F">
      <w:pPr>
        <w:spacing w:line="560" w:lineRule="exact"/>
        <w:ind w:firstLine="68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 一 )注册备案</w:t>
      </w:r>
    </w:p>
    <w:p w14:paraId="01A2EBE1">
      <w:pPr>
        <w:spacing w:line="560" w:lineRule="exact"/>
        <w:ind w:firstLine="68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“先打后补”主体通过“智慧龙牧”微信公众号下载手机 APP进行账号注册，线上填写《黑龙江省动物强制免疫“先打后补”承诺书》,并提交相关信息进行备案。未注册备案的，视为主动放弃补助资格。</w:t>
      </w:r>
    </w:p>
    <w:p w14:paraId="616FD833">
      <w:pPr>
        <w:spacing w:line="560" w:lineRule="exact"/>
        <w:ind w:firstLine="68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(二)备案审核</w:t>
      </w:r>
    </w:p>
    <w:p w14:paraId="465C1CAC">
      <w:pPr>
        <w:spacing w:line="560" w:lineRule="exact"/>
        <w:ind w:firstLine="68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由</w:t>
      </w:r>
      <w:r>
        <w:rPr>
          <w:rFonts w:hint="eastAsia" w:ascii="仿宋" w:hAnsi="仿宋" w:eastAsia="仿宋" w:cs="仿宋"/>
          <w:color w:val="000000" w:themeColor="text1"/>
          <w:spacing w:val="-8"/>
          <w:sz w:val="32"/>
          <w:szCs w:val="32"/>
          <w:lang w:val="en-US" w:eastAsia="zh-CN"/>
          <w14:textFill>
            <w14:solidFill>
              <w14:schemeClr w14:val="tx1"/>
            </w14:solidFill>
          </w14:textFill>
        </w:rPr>
        <w:t>所在</w:t>
      </w:r>
      <w:r>
        <w:rPr>
          <w:rFonts w:hint="eastAsia" w:ascii="仿宋" w:hAnsi="仿宋" w:eastAsia="仿宋" w:cs="仿宋"/>
          <w:color w:val="000000" w:themeColor="text1"/>
          <w:spacing w:val="-8"/>
          <w:sz w:val="32"/>
          <w:szCs w:val="32"/>
          <w14:textFill>
            <w14:solidFill>
              <w14:schemeClr w14:val="tx1"/>
            </w14:solidFill>
          </w14:textFill>
        </w:rPr>
        <w:t>乡镇承担兽医工作职能机构负责对“先打后补”主体提交的备案信息进行线上初审，审核其是否符合“先打后补”标准，必要时进行现场核实。通过乡镇初审后，由县级农业农村主管部门进行线上复审核准。</w:t>
      </w:r>
    </w:p>
    <w:p w14:paraId="5759C16E">
      <w:pPr>
        <w:spacing w:line="560" w:lineRule="exact"/>
        <w:ind w:firstLine="68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(三)免疫录入</w:t>
      </w:r>
    </w:p>
    <w:p w14:paraId="60750AB6">
      <w:pPr>
        <w:spacing w:line="560" w:lineRule="exact"/>
        <w:ind w:firstLine="68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通过备案审核的“先打后补”主体，即可通过“智慧龙牧”手机APP,实时录入上传需要提交的各项免疫数据信息。</w:t>
      </w:r>
    </w:p>
    <w:p w14:paraId="16C82E26">
      <w:pPr>
        <w:spacing w:line="560" w:lineRule="exact"/>
        <w:ind w:firstLine="68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(四)免疫评价</w:t>
      </w:r>
    </w:p>
    <w:p w14:paraId="4755A494">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按照《农业农村部畜牧兽医局关于印发强免效果监测评价方案和智能化监测设备技术要求的通知》(农牧便函〔2021〕66号)要求开展“先打后补”养殖场户强制免疫效果监测评价。</w:t>
      </w:r>
    </w:p>
    <w:p w14:paraId="7EA6D004">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养殖数量达到猪10000头、牛1000头、羊1000只、禽50000只的“先打后补”主体,至少提供1次免疫抗体检测合格报告，并对检测评价真实性负责。其他“先打后补”主体由县级农业农村主管部门委托县级疫控机构或有资质实验室免费随机抽检评价，全年抽检比例不少于其他养殖场户总数的25%,抽检场点应涵盖全部补助病种。免疫抗体水平检测不合格的“先打后补”主体，要分析原因，及时采取整改措施，确保免疫抗体水平达标。对补免后免疫抗体水平检测仍不合格的，不给予“先打后补”补助 。</w:t>
      </w:r>
    </w:p>
    <w:p w14:paraId="34EDC0FC">
      <w:pPr>
        <w:spacing w:line="560" w:lineRule="exact"/>
        <w:ind w:firstLine="68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(五)补助申请</w:t>
      </w:r>
    </w:p>
    <w:p w14:paraId="6AED9E61">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先打后补”主体申请补助时，需对线上生成的申请书进行签字确认。同时，上传疫苗采购发票(日期、品种、规格、数量、金额信息齐全)、免疫抗体检测合格报告(规定开展自评场户提供)等相关佐证材料，并对提交材料的真实性负责。</w:t>
      </w:r>
    </w:p>
    <w:p w14:paraId="46ADECCD">
      <w:pPr>
        <w:spacing w:line="560" w:lineRule="exact"/>
        <w:ind w:firstLine="68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(六)补助审核</w:t>
      </w:r>
    </w:p>
    <w:p w14:paraId="272B236E">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由乡镇承担兽医工作职能机构负责对“先打后补”主体提交的申请书和相关佐证材料进行线上初审，必要时进行现场核实。乡镇初审合格后，由县级农业农村主管部门进行线上复审核准。完成全部补助申请审核后，县级农业农村主管部门在线生成审核情况汇总表，报同级财政部门核准。</w:t>
      </w:r>
    </w:p>
    <w:p w14:paraId="611BDDAC">
      <w:pPr>
        <w:spacing w:line="560" w:lineRule="exact"/>
        <w:ind w:firstLine="680"/>
        <w:rPr>
          <w:rFonts w:ascii="仿宋" w:hAnsi="仿宋" w:eastAsia="仿宋" w:cs="仿宋"/>
          <w:b/>
          <w:bCs/>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(七)补助发放</w:t>
      </w:r>
    </w:p>
    <w:p w14:paraId="69E9C37E">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县级农业农村局向社会公示“先打后补”补助结果，公示期</w:t>
      </w:r>
      <w:r>
        <w:rPr>
          <w:rFonts w:hint="eastAsia" w:ascii="仿宋" w:hAnsi="仿宋" w:eastAsia="仿宋" w:cs="仿宋"/>
          <w:color w:val="000000" w:themeColor="text1"/>
          <w:spacing w:val="-8"/>
          <w:sz w:val="32"/>
          <w:szCs w:val="32"/>
          <w:lang w:val="en-US" w:eastAsia="zh-CN"/>
          <w14:textFill>
            <w14:solidFill>
              <w14:schemeClr w14:val="tx1"/>
            </w14:solidFill>
          </w14:textFill>
        </w:rPr>
        <w:t>这5个工作日</w:t>
      </w:r>
      <w:r>
        <w:rPr>
          <w:rFonts w:hint="eastAsia" w:ascii="仿宋" w:hAnsi="仿宋" w:eastAsia="仿宋" w:cs="仿宋"/>
          <w:color w:val="000000" w:themeColor="text1"/>
          <w:spacing w:val="-8"/>
          <w:sz w:val="32"/>
          <w:szCs w:val="32"/>
          <w14:textFill>
            <w14:solidFill>
              <w14:schemeClr w14:val="tx1"/>
            </w14:solidFill>
          </w14:textFill>
        </w:rPr>
        <w:t>。公示无异议后，针对申报主体是企业的由县级财政部门发放补助资金，针对申报主体是个人的，按照《黑龙江省财政厅、黑龙江省人力资源和社会保障厅关于印发&lt;2023年度新增纳入全省惠民惠农财政补贴资金“一卡通”平台发放计划&gt;的通知》(黑财监(2023)27号)要求，由县级农业农村部门通过惠民惠农财政补贴资金“一卡通”监管服务平台管理发放。</w:t>
      </w:r>
    </w:p>
    <w:p w14:paraId="549773C9">
      <w:pPr>
        <w:spacing w:line="560" w:lineRule="exact"/>
        <w:ind w:firstLine="680"/>
        <w:rPr>
          <w:rFonts w:ascii="黑体" w:hAnsi="黑体" w:eastAsia="黑体" w:cs="黑体"/>
          <w:color w:val="000000" w:themeColor="text1"/>
          <w:spacing w:val="-8"/>
          <w:sz w:val="32"/>
          <w:szCs w:val="32"/>
          <w14:textFill>
            <w14:solidFill>
              <w14:schemeClr w14:val="tx1"/>
            </w14:solidFill>
          </w14:textFill>
        </w:rPr>
      </w:pPr>
      <w:r>
        <w:rPr>
          <w:rFonts w:hint="eastAsia" w:ascii="黑体" w:hAnsi="黑体" w:eastAsia="黑体" w:cs="黑体"/>
          <w:color w:val="000000" w:themeColor="text1"/>
          <w:spacing w:val="-8"/>
          <w:sz w:val="32"/>
          <w:szCs w:val="32"/>
          <w14:textFill>
            <w14:solidFill>
              <w14:schemeClr w14:val="tx1"/>
            </w14:solidFill>
          </w14:textFill>
        </w:rPr>
        <w:t>八、 工作要求</w:t>
      </w:r>
    </w:p>
    <w:p w14:paraId="06260EA9">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(一)加强组织领导，确保工作成效。</w:t>
      </w:r>
      <w:r>
        <w:rPr>
          <w:rFonts w:hint="eastAsia" w:ascii="仿宋" w:hAnsi="仿宋" w:eastAsia="仿宋" w:cs="仿宋"/>
          <w:color w:val="000000" w:themeColor="text1"/>
          <w:spacing w:val="-8"/>
          <w:sz w:val="32"/>
          <w:szCs w:val="32"/>
          <w14:textFill>
            <w14:solidFill>
              <w14:schemeClr w14:val="tx1"/>
            </w14:solidFill>
          </w14:textFill>
        </w:rPr>
        <w:t>各乡镇要切实加强对“ 先打后补”工作的统一领导，落实乡镇政府对本地区动物疫病防控工作负总责、主要负责人是第一责任人的属地管理责任，落细各有关部门的动物防疫监管责任，严格执行国家和省级强制免疫有关工作要求，确保“先打后补”机制改革顺利实施，确保畜禽免疫密度和免疫质量，确保重大动物疫情稳定。对不按要求落实国家政策、引发社会矛盾的单位和个人，要严肃追责问责。</w:t>
      </w:r>
    </w:p>
    <w:p w14:paraId="40E8949F">
      <w:pPr>
        <w:spacing w:line="560" w:lineRule="exact"/>
        <w:ind w:firstLine="611" w:firstLineChars="200"/>
        <w:rPr>
          <w:rFonts w:ascii="仿宋" w:hAnsi="仿宋" w:eastAsia="仿宋" w:cs="仿宋"/>
          <w:spacing w:val="-1"/>
          <w:sz w:val="31"/>
          <w:szCs w:val="31"/>
        </w:rPr>
      </w:pPr>
      <w:r>
        <w:rPr>
          <w:rFonts w:hint="eastAsia" w:ascii="仿宋" w:hAnsi="仿宋" w:eastAsia="仿宋" w:cs="仿宋"/>
          <w:b/>
          <w:bCs/>
          <w:color w:val="000000" w:themeColor="text1"/>
          <w:spacing w:val="-8"/>
          <w:sz w:val="32"/>
          <w:szCs w:val="32"/>
          <w14:textFill>
            <w14:solidFill>
              <w14:schemeClr w14:val="tx1"/>
            </w14:solidFill>
          </w14:textFill>
        </w:rPr>
        <w:t>(二)统筹资金使用，高效开展工作。</w:t>
      </w:r>
      <w:r>
        <w:rPr>
          <w:rFonts w:hint="eastAsia" w:ascii="仿宋" w:hAnsi="仿宋" w:eastAsia="仿宋" w:cs="仿宋"/>
          <w:color w:val="000000" w:themeColor="text1"/>
          <w:spacing w:val="-8"/>
          <w:sz w:val="32"/>
          <w:szCs w:val="32"/>
          <w14:textFill>
            <w14:solidFill>
              <w14:schemeClr w14:val="tx1"/>
            </w14:solidFill>
          </w14:textFill>
        </w:rPr>
        <w:t>各乡镇要提前组织开展摸底调查，摸清辖区内符合标准的“先打后补”主体数量及养殖情况，</w:t>
      </w:r>
      <w:r>
        <w:rPr>
          <w:rFonts w:ascii="仿宋" w:hAnsi="仿宋" w:eastAsia="仿宋" w:cs="仿宋"/>
          <w:spacing w:val="6"/>
          <w:sz w:val="31"/>
          <w:szCs w:val="31"/>
        </w:rPr>
        <w:t>统计“先打后补”主体和小散养殖户畜禽养殖数量占比，</w:t>
      </w:r>
      <w:r>
        <w:rPr>
          <w:rFonts w:ascii="仿宋" w:hAnsi="仿宋" w:eastAsia="仿宋" w:cs="仿宋"/>
          <w:spacing w:val="-7"/>
          <w:sz w:val="31"/>
          <w:szCs w:val="31"/>
        </w:rPr>
        <w:t>据实测算“先打后补”补助经费和政府招标采购疫苗经费，合理安</w:t>
      </w:r>
      <w:r>
        <w:rPr>
          <w:rFonts w:ascii="仿宋" w:hAnsi="仿宋" w:eastAsia="仿宋" w:cs="仿宋"/>
          <w:spacing w:val="4"/>
          <w:sz w:val="31"/>
          <w:szCs w:val="31"/>
        </w:rPr>
        <w:t>排、统筹使用疫苗补助经费，提升财政资金使用效率，高效</w:t>
      </w:r>
      <w:r>
        <w:rPr>
          <w:rFonts w:ascii="仿宋" w:hAnsi="仿宋" w:eastAsia="仿宋" w:cs="仿宋"/>
          <w:spacing w:val="3"/>
          <w:sz w:val="31"/>
          <w:szCs w:val="31"/>
        </w:rPr>
        <w:t>推进</w:t>
      </w:r>
      <w:r>
        <w:rPr>
          <w:rFonts w:ascii="仿宋" w:hAnsi="仿宋" w:eastAsia="仿宋" w:cs="仿宋"/>
          <w:spacing w:val="-1"/>
          <w:sz w:val="31"/>
          <w:szCs w:val="31"/>
        </w:rPr>
        <w:t>强制免疫工作顺利开展</w:t>
      </w:r>
      <w:r>
        <w:rPr>
          <w:rFonts w:hint="eastAsia" w:ascii="仿宋" w:hAnsi="仿宋" w:eastAsia="仿宋" w:cs="仿宋"/>
          <w:spacing w:val="-1"/>
          <w:sz w:val="31"/>
          <w:szCs w:val="31"/>
        </w:rPr>
        <w:t>。</w:t>
      </w:r>
    </w:p>
    <w:p w14:paraId="794D7E13">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(三)落实主体责任，建立惩处机制。</w:t>
      </w:r>
      <w:r>
        <w:rPr>
          <w:rFonts w:hint="eastAsia" w:ascii="仿宋" w:hAnsi="仿宋" w:eastAsia="仿宋" w:cs="仿宋"/>
          <w:color w:val="000000" w:themeColor="text1"/>
          <w:spacing w:val="-8"/>
          <w:sz w:val="32"/>
          <w:szCs w:val="32"/>
          <w14:textFill>
            <w14:solidFill>
              <w14:schemeClr w14:val="tx1"/>
            </w14:solidFill>
          </w14:textFill>
        </w:rPr>
        <w:t>各乡镇要严格做好申报“先打后补”主体的资质审核，监督指导其严格落实动物防疫主体责任，健全免疫档案，开展效果监测，确保免疫质量。“先打后补”主体必须自觉接受农业农村部门的监测、监督、检查 ,严禁以各种方式骗取国家“先打后补”补助资金。对拒不配合农业农村部门监督监测、拒不履行强制免疫义务、因免疫质量不达标引发动物疫情，以及在疫苗备案、申请、核实、使用过程中弄虚作假的，取消其“先打后补”补助资格，并按照国家、省有关规定追究相应责任。</w:t>
      </w:r>
    </w:p>
    <w:p w14:paraId="4945F235">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(四)做好日常监管，畅通疫苗渠道。</w:t>
      </w:r>
      <w:r>
        <w:rPr>
          <w:rFonts w:hint="eastAsia" w:ascii="仿宋" w:hAnsi="仿宋" w:eastAsia="仿宋" w:cs="仿宋"/>
          <w:color w:val="000000" w:themeColor="text1"/>
          <w:spacing w:val="-8"/>
          <w:sz w:val="32"/>
          <w:szCs w:val="32"/>
          <w14:textFill>
            <w14:solidFill>
              <w14:schemeClr w14:val="tx1"/>
            </w14:solidFill>
          </w14:textFill>
        </w:rPr>
        <w:t>各乡镇要进一步规范政府采购疫苗供应使用管理，保证疫苗供应充足，保障储运质量安全，避免浪费。</w:t>
      </w:r>
      <w:r>
        <w:rPr>
          <w:rFonts w:ascii="仿宋" w:hAnsi="仿宋" w:eastAsia="仿宋" w:cs="仿宋"/>
          <w:spacing w:val="5"/>
          <w:sz w:val="32"/>
          <w:szCs w:val="32"/>
        </w:rPr>
        <w:t>严格执行《黑龙江省动物疫病强制免疫疫苗政府</w:t>
      </w:r>
      <w:r>
        <w:rPr>
          <w:rFonts w:ascii="仿宋" w:hAnsi="仿宋" w:eastAsia="仿宋" w:cs="仿宋"/>
          <w:spacing w:val="9"/>
          <w:sz w:val="32"/>
          <w:szCs w:val="32"/>
        </w:rPr>
        <w:t>采购供应使用管理制度》(黑农厅发〔2023〕202号)关于疫苗县</w:t>
      </w:r>
      <w:r>
        <w:rPr>
          <w:rFonts w:ascii="仿宋" w:hAnsi="仿宋" w:eastAsia="仿宋" w:cs="仿宋"/>
          <w:spacing w:val="4"/>
          <w:sz w:val="32"/>
          <w:szCs w:val="32"/>
        </w:rPr>
        <w:t>级“扫码入库”的规定，严防政府采购疫苗流入市场环节。</w:t>
      </w:r>
      <w:r>
        <w:rPr>
          <w:rFonts w:hint="eastAsia" w:ascii="仿宋" w:hAnsi="仿宋" w:eastAsia="仿宋" w:cs="仿宋"/>
          <w:color w:val="000000" w:themeColor="text1"/>
          <w:spacing w:val="-8"/>
          <w:sz w:val="32"/>
          <w:szCs w:val="32"/>
          <w14:textFill>
            <w14:solidFill>
              <w14:schemeClr w14:val="tx1"/>
            </w14:solidFill>
          </w14:textFill>
        </w:rPr>
        <w:t>县农业综合执法大队贯彻落实《兽用生物制品经营管理办法》,强化市场化兽用生物制品经营日常监管，畅通疫苗供应渠道。严厉打击违法生产销售使用兽用生物制品行为，重点查处无证经营、超范围经营以及使用未经国家批准的假劣兽用生物制品行为。</w:t>
      </w:r>
    </w:p>
    <w:p w14:paraId="669F6274">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(五)强化政策宣传，创新工作机制。</w:t>
      </w:r>
      <w:r>
        <w:rPr>
          <w:rFonts w:hint="eastAsia" w:ascii="仿宋" w:hAnsi="仿宋" w:eastAsia="仿宋" w:cs="仿宋"/>
          <w:color w:val="000000" w:themeColor="text1"/>
          <w:spacing w:val="-8"/>
          <w:sz w:val="32"/>
          <w:szCs w:val="32"/>
          <w14:textFill>
            <w14:solidFill>
              <w14:schemeClr w14:val="tx1"/>
            </w14:solidFill>
          </w14:textFill>
        </w:rPr>
        <w:t>各乡镇要</w:t>
      </w:r>
      <w:r>
        <w:rPr>
          <w:rFonts w:ascii="仿宋" w:hAnsi="仿宋" w:eastAsia="仿宋" w:cs="仿宋"/>
          <w:spacing w:val="15"/>
          <w:sz w:val="31"/>
          <w:szCs w:val="31"/>
        </w:rPr>
        <w:t>采取“业务部门培训+新闻媒体宣传+入场入户宣讲”</w:t>
      </w:r>
      <w:r>
        <w:rPr>
          <w:rFonts w:ascii="仿宋" w:hAnsi="仿宋" w:eastAsia="仿宋" w:cs="仿宋"/>
          <w:spacing w:val="-6"/>
          <w:sz w:val="31"/>
          <w:szCs w:val="31"/>
        </w:rPr>
        <w:t>三结合模式，广泛开展“先打后补”政策宣传</w:t>
      </w:r>
      <w:r>
        <w:rPr>
          <w:rFonts w:ascii="仿宋" w:hAnsi="仿宋" w:eastAsia="仿宋" w:cs="仿宋"/>
          <w:spacing w:val="-7"/>
          <w:sz w:val="31"/>
          <w:szCs w:val="31"/>
        </w:rPr>
        <w:t>、解读和培训，及时</w:t>
      </w:r>
      <w:r>
        <w:rPr>
          <w:rFonts w:ascii="仿宋" w:hAnsi="仿宋" w:eastAsia="仿宋" w:cs="仿宋"/>
          <w:spacing w:val="5"/>
          <w:sz w:val="31"/>
          <w:szCs w:val="31"/>
        </w:rPr>
        <w:t>将补助范围、补助标准、操作流程等政策内容宣传到位，全力扩</w:t>
      </w:r>
      <w:r>
        <w:rPr>
          <w:rFonts w:ascii="仿宋" w:hAnsi="仿宋" w:eastAsia="仿宋" w:cs="仿宋"/>
          <w:spacing w:val="3"/>
          <w:sz w:val="30"/>
          <w:szCs w:val="30"/>
        </w:rPr>
        <w:t>大“先打后补”政策执行面，努力提高“先打后</w:t>
      </w:r>
      <w:r>
        <w:rPr>
          <w:rFonts w:ascii="仿宋" w:hAnsi="仿宋" w:eastAsia="仿宋" w:cs="仿宋"/>
          <w:spacing w:val="2"/>
          <w:sz w:val="30"/>
          <w:szCs w:val="30"/>
        </w:rPr>
        <w:t>补”主体参与率。</w:t>
      </w:r>
      <w:r>
        <w:rPr>
          <w:rFonts w:hint="eastAsia" w:ascii="仿宋" w:hAnsi="仿宋" w:eastAsia="仿宋" w:cs="仿宋"/>
          <w:color w:val="000000" w:themeColor="text1"/>
          <w:spacing w:val="-8"/>
          <w:sz w:val="32"/>
          <w:szCs w:val="32"/>
          <w14:textFill>
            <w14:solidFill>
              <w14:schemeClr w14:val="tx1"/>
            </w14:solidFill>
          </w14:textFill>
        </w:rPr>
        <w:t>要解放思想、创新机制，因地制宜、不拘形式地培育发展专业、规范的兽医社会化服务组织，使之成为政府购买免疫服务的重要组成力量，提升兽医公共服务能力。通过兽医社会化服务组织提供“先打后补”系列服务，整合带动中小散养殖场户以规模化形式参与“先打后补”,解决中小散户“做不好、做不了、不划算”的难题，推进“先打后补”工作全方位实施。要协调理顺财政资金支付渠道，提高财政资金使用效率，保障政府购买服务经费顺畅足额到位，为加快培育发展兽医社会化服务组织创造有利条件。</w:t>
      </w:r>
    </w:p>
    <w:p w14:paraId="0E3BB1DE">
      <w:pPr>
        <w:spacing w:line="560" w:lineRule="exact"/>
        <w:ind w:firstLine="611" w:firstLineChars="200"/>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8"/>
          <w:sz w:val="32"/>
          <w:szCs w:val="32"/>
          <w14:textFill>
            <w14:solidFill>
              <w14:schemeClr w14:val="tx1"/>
            </w14:solidFill>
          </w14:textFill>
        </w:rPr>
        <w:t>(六)强化制度建设，防范廉政风险。</w:t>
      </w:r>
      <w:r>
        <w:rPr>
          <w:rFonts w:hint="eastAsia" w:ascii="仿宋" w:hAnsi="仿宋" w:eastAsia="仿宋" w:cs="仿宋"/>
          <w:color w:val="000000" w:themeColor="text1"/>
          <w:spacing w:val="-8"/>
          <w:sz w:val="32"/>
          <w:szCs w:val="32"/>
          <w14:textFill>
            <w14:solidFill>
              <w14:schemeClr w14:val="tx1"/>
            </w14:solidFill>
          </w14:textFill>
        </w:rPr>
        <w:t xml:space="preserve"> 各乡镇要健全完善疫苗供应管理和“先打后补”备案审核、信息核查、资金审核 、拨付公示等各项制度建设，规范工作程序，明确工作责任，及时处理和回应社会关切。严肃查处单位和个人借招标采购之机“吃拿卡要”、倒买倒卖政府采购疫苗、虚报冒领、骗取套取、挤占挪用“先打后补”补助资金等违法违规行为，严格监督执纪，防范廉政风险。</w:t>
      </w:r>
    </w:p>
    <w:p w14:paraId="17ABD290">
      <w:pPr>
        <w:spacing w:line="560" w:lineRule="exact"/>
        <w:ind w:firstLine="608" w:firstLineChars="200"/>
        <w:rPr>
          <w:rFonts w:ascii="仿宋" w:hAnsi="仿宋" w:eastAsia="仿宋" w:cs="仿宋"/>
          <w:color w:val="000000" w:themeColor="text1"/>
          <w:spacing w:val="-8"/>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color w:val="000000" w:themeColor="text1"/>
          <w:spacing w:val="-8"/>
          <w:sz w:val="32"/>
          <w:szCs w:val="32"/>
          <w14:textFill>
            <w14:solidFill>
              <w14:schemeClr w14:val="tx1"/>
            </w14:solidFill>
          </w14:textFill>
        </w:rPr>
        <w:t>附件：黑龙江省动物强制免疫“先打后补”承诺书</w:t>
      </w:r>
    </w:p>
    <w:p w14:paraId="136714F1">
      <w:pPr>
        <w:spacing w:line="560" w:lineRule="exact"/>
        <w:rPr>
          <w:rFonts w:hint="eastAsia" w:ascii="仿宋" w:hAnsi="仿宋" w:eastAsia="仿宋" w:cs="仿宋"/>
          <w:b/>
          <w:bCs/>
          <w:spacing w:val="11"/>
          <w:sz w:val="32"/>
          <w:szCs w:val="32"/>
        </w:rPr>
      </w:pPr>
      <w:r>
        <w:rPr>
          <w:rFonts w:hint="eastAsia" w:ascii="仿宋" w:hAnsi="仿宋" w:eastAsia="仿宋" w:cs="仿宋"/>
          <w:b/>
          <w:bCs/>
          <w:spacing w:val="11"/>
          <w:sz w:val="32"/>
          <w:szCs w:val="32"/>
        </w:rPr>
        <w:t>附件</w:t>
      </w:r>
    </w:p>
    <w:p w14:paraId="27D7F379">
      <w:pPr>
        <w:spacing w:line="560" w:lineRule="exact"/>
        <w:jc w:val="center"/>
        <w:rPr>
          <w:rFonts w:hint="eastAsia" w:ascii="黑体" w:hAnsi="黑体" w:eastAsia="黑体" w:cs="黑体"/>
          <w:spacing w:val="11"/>
          <w:sz w:val="36"/>
          <w:szCs w:val="36"/>
        </w:rPr>
      </w:pPr>
    </w:p>
    <w:p w14:paraId="06A468D6">
      <w:pPr>
        <w:spacing w:line="560" w:lineRule="exact"/>
        <w:jc w:val="center"/>
        <w:rPr>
          <w:rFonts w:hint="eastAsia" w:ascii="黑体" w:hAnsi="黑体" w:eastAsia="黑体" w:cs="黑体"/>
          <w:spacing w:val="11"/>
          <w:sz w:val="36"/>
          <w:szCs w:val="36"/>
        </w:rPr>
      </w:pPr>
      <w:r>
        <w:rPr>
          <w:rFonts w:hint="eastAsia" w:ascii="黑体" w:hAnsi="黑体" w:eastAsia="黑体" w:cs="黑体"/>
          <w:spacing w:val="11"/>
          <w:sz w:val="36"/>
          <w:szCs w:val="36"/>
        </w:rPr>
        <w:t>黑龙江省动物强制免疫“先打后补”承诺书</w:t>
      </w:r>
    </w:p>
    <w:p w14:paraId="5335DF33">
      <w:pPr>
        <w:spacing w:line="560" w:lineRule="exact"/>
        <w:ind w:firstLine="684" w:firstLineChars="200"/>
        <w:rPr>
          <w:rFonts w:hint="eastAsia" w:ascii="仿宋" w:hAnsi="仿宋" w:eastAsia="仿宋" w:cs="仿宋"/>
          <w:spacing w:val="11"/>
          <w:sz w:val="32"/>
          <w:szCs w:val="32"/>
        </w:rPr>
      </w:pPr>
    </w:p>
    <w:p w14:paraId="3DCB2036">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本“先打后补”主体(养殖场户、兽医社会化服务组织)按照《中华人民共和国动物防疫法》《黑龙江省动物防疫条例》及黑龙江省动物疫病强制免疫“先打后补”工作方案要求，自愿申报参加“先打后补”，认可补助政策，并承诺如下:</w:t>
      </w:r>
    </w:p>
    <w:p w14:paraId="2631ED42">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一、自觉贯彻国家和黑龙江省关于重大动物疫病防控工作有关要求，认真落实动物疫病强制免疫措施。</w:t>
      </w:r>
    </w:p>
    <w:p w14:paraId="7B38532D">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二、按规定应实施强制免疫的畜禽，免疫密度达到100%;口蹄疫、高致病性禽流感、小反刍兽疫免疫抗体合格率达到80%以上。</w:t>
      </w:r>
    </w:p>
    <w:p w14:paraId="137E0A62">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三、畜禽出栏100%申报检疫，病死畜禽全部无害化处理，不随意抛弃。如出现疑似重大动物疫病或不明原因发病死亡畜禽，立即报告所在乡镇或县级农业农村部门，不瞒报、不谎报。</w:t>
      </w:r>
    </w:p>
    <w:p w14:paraId="680A3D13">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四、积极配合农业农村部门日常监管及疫控机构监测采样，对免疫抗体水平不达标的动物群体及时补免，补免费用自负。</w:t>
      </w:r>
    </w:p>
    <w:p w14:paraId="102D6B3C">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五、遵守强制免疫疫苗管理规定，经合法渠道选购国家批准生产使用的疫苗，确保疫苗按要求储藏、运输和使用。</w:t>
      </w:r>
    </w:p>
    <w:p w14:paraId="52330233">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六、按规定如实上传采购使用强制免疫疫苗品种、数量、免疫动物数量及相关佐证材料等信息，绝不弄虚作假。</w:t>
      </w:r>
    </w:p>
    <w:p w14:paraId="5445BE3B">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七、未履行本承诺书事项，未达到“先打后补”方案要求，对农业农村部门审核提出的整改内容未按期完成整改，自愿放弃补助申请。</w:t>
      </w:r>
    </w:p>
    <w:p w14:paraId="54AF06B5">
      <w:pPr>
        <w:spacing w:line="560" w:lineRule="exact"/>
        <w:ind w:firstLine="684" w:firstLineChars="200"/>
        <w:rPr>
          <w:rFonts w:hint="eastAsia" w:ascii="仿宋" w:hAnsi="仿宋" w:eastAsia="仿宋" w:cs="仿宋"/>
          <w:spacing w:val="11"/>
          <w:sz w:val="32"/>
          <w:szCs w:val="32"/>
        </w:rPr>
      </w:pPr>
      <w:r>
        <w:rPr>
          <w:rFonts w:hint="eastAsia" w:ascii="仿宋" w:hAnsi="仿宋" w:eastAsia="仿宋" w:cs="仿宋"/>
          <w:spacing w:val="11"/>
          <w:sz w:val="32"/>
          <w:szCs w:val="32"/>
        </w:rPr>
        <w:t>已阅读，同意承诺。</w:t>
      </w:r>
    </w:p>
    <w:p w14:paraId="53343C34">
      <w:pPr>
        <w:spacing w:line="560" w:lineRule="exact"/>
        <w:ind w:firstLine="5472" w:firstLineChars="1600"/>
        <w:rPr>
          <w:rFonts w:hint="eastAsia" w:ascii="仿宋" w:hAnsi="仿宋" w:eastAsia="仿宋" w:cs="仿宋"/>
          <w:spacing w:val="11"/>
          <w:sz w:val="32"/>
          <w:szCs w:val="32"/>
        </w:rPr>
      </w:pPr>
    </w:p>
    <w:p w14:paraId="350CE6CE">
      <w:pPr>
        <w:spacing w:line="560" w:lineRule="exact"/>
        <w:ind w:firstLine="5472" w:firstLineChars="1600"/>
        <w:rPr>
          <w:rFonts w:hint="eastAsia" w:ascii="仿宋" w:hAnsi="仿宋" w:eastAsia="仿宋" w:cs="仿宋"/>
          <w:spacing w:val="11"/>
          <w:sz w:val="32"/>
          <w:szCs w:val="32"/>
        </w:rPr>
      </w:pPr>
    </w:p>
    <w:p w14:paraId="0AC5D827">
      <w:pPr>
        <w:spacing w:line="560" w:lineRule="exact"/>
        <w:ind w:firstLine="5472" w:firstLineChars="1600"/>
        <w:rPr>
          <w:rFonts w:hint="eastAsia" w:ascii="仿宋" w:hAnsi="仿宋" w:eastAsia="仿宋" w:cs="仿宋"/>
          <w:spacing w:val="11"/>
          <w:sz w:val="32"/>
          <w:szCs w:val="32"/>
        </w:rPr>
      </w:pPr>
    </w:p>
    <w:p w14:paraId="7FAF4382">
      <w:pPr>
        <w:spacing w:line="560" w:lineRule="exact"/>
        <w:ind w:firstLine="5472" w:firstLineChars="1600"/>
        <w:rPr>
          <w:rFonts w:hint="eastAsia" w:ascii="仿宋" w:hAnsi="仿宋" w:eastAsia="仿宋" w:cs="仿宋"/>
          <w:spacing w:val="11"/>
          <w:sz w:val="32"/>
          <w:szCs w:val="32"/>
        </w:rPr>
      </w:pPr>
    </w:p>
    <w:p w14:paraId="3D57AE8C">
      <w:pPr>
        <w:spacing w:line="560" w:lineRule="exact"/>
        <w:ind w:firstLine="5472" w:firstLineChars="1600"/>
        <w:rPr>
          <w:rFonts w:hint="eastAsia" w:ascii="仿宋" w:hAnsi="仿宋" w:eastAsia="仿宋" w:cs="仿宋"/>
          <w:spacing w:val="11"/>
          <w:sz w:val="32"/>
          <w:szCs w:val="32"/>
        </w:rPr>
      </w:pPr>
      <w:r>
        <w:rPr>
          <w:rFonts w:hint="eastAsia" w:ascii="仿宋" w:hAnsi="仿宋" w:eastAsia="仿宋" w:cs="仿宋"/>
          <w:spacing w:val="11"/>
          <w:sz w:val="32"/>
          <w:szCs w:val="32"/>
        </w:rPr>
        <w:t>承诺人:</w:t>
      </w:r>
    </w:p>
    <w:p w14:paraId="5D77713E">
      <w:pPr>
        <w:spacing w:line="560" w:lineRule="exact"/>
        <w:ind w:firstLine="5814" w:firstLineChars="1700"/>
        <w:rPr>
          <w:rFonts w:hint="default" w:ascii="仿宋" w:hAnsi="仿宋" w:eastAsia="仿宋" w:cs="仿宋"/>
          <w:spacing w:val="11"/>
          <w:sz w:val="32"/>
          <w:szCs w:val="32"/>
          <w:lang w:val="en-US" w:eastAsia="zh-CN"/>
        </w:rPr>
      </w:pPr>
      <w:r>
        <w:rPr>
          <w:rFonts w:hint="eastAsia" w:ascii="仿宋" w:hAnsi="仿宋" w:eastAsia="仿宋" w:cs="仿宋"/>
          <w:spacing w:val="11"/>
          <w:sz w:val="32"/>
          <w:szCs w:val="32"/>
        </w:rPr>
        <w:t>年</w:t>
      </w:r>
      <w:r>
        <w:rPr>
          <w:rFonts w:hint="eastAsia" w:ascii="仿宋" w:hAnsi="仿宋" w:eastAsia="仿宋" w:cs="仿宋"/>
          <w:spacing w:val="11"/>
          <w:sz w:val="32"/>
          <w:szCs w:val="32"/>
          <w:lang w:val="en-US" w:eastAsia="zh-CN"/>
        </w:rPr>
        <w:t xml:space="preserve">  </w:t>
      </w:r>
      <w:r>
        <w:rPr>
          <w:rFonts w:hint="eastAsia" w:ascii="仿宋" w:hAnsi="仿宋" w:eastAsia="仿宋" w:cs="仿宋"/>
          <w:spacing w:val="11"/>
          <w:sz w:val="32"/>
          <w:szCs w:val="32"/>
        </w:rPr>
        <w:t>月</w:t>
      </w:r>
      <w:r>
        <w:rPr>
          <w:rFonts w:hint="eastAsia" w:ascii="仿宋" w:hAnsi="仿宋" w:eastAsia="仿宋" w:cs="仿宋"/>
          <w:spacing w:val="11"/>
          <w:sz w:val="32"/>
          <w:szCs w:val="32"/>
          <w:lang w:val="en-US" w:eastAsia="zh-CN"/>
        </w:rPr>
        <w:t xml:space="preserve">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46EC">
    <w:pPr>
      <w:spacing w:line="177" w:lineRule="auto"/>
      <w:ind w:left="8160"/>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6DB4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A86DB4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A88B">
    <w:pPr>
      <w:spacing w:line="177" w:lineRule="auto"/>
      <w:ind w:left="8160"/>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CBAC0">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2CBAC0">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DCB12"/>
    <w:multiLevelType w:val="singleLevel"/>
    <w:tmpl w:val="4A5DCB12"/>
    <w:lvl w:ilvl="0" w:tentative="0">
      <w:start w:val="2"/>
      <w:numFmt w:val="chineseCounting"/>
      <w:lvlText w:val="(%1)"/>
      <w:lvlJc w:val="left"/>
      <w:pPr>
        <w:tabs>
          <w:tab w:val="left" w:pos="312"/>
        </w:tabs>
      </w:pPr>
      <w:rPr>
        <w:rFonts w:hint="eastAsia"/>
      </w:rPr>
    </w:lvl>
  </w:abstractNum>
  <w:abstractNum w:abstractNumId="1">
    <w:nsid w:val="7E0C5948"/>
    <w:multiLevelType w:val="multilevel"/>
    <w:tmpl w:val="7E0C5948"/>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OWNjZjY4MzUzMWRkZGViZDM2MTA3ZWE0OWYwMmQifQ=="/>
  </w:docVars>
  <w:rsids>
    <w:rsidRoot w:val="5EBC0FFB"/>
    <w:rsid w:val="00065E53"/>
    <w:rsid w:val="00D27ED3"/>
    <w:rsid w:val="00FF5A71"/>
    <w:rsid w:val="04FE39B8"/>
    <w:rsid w:val="0DDB4177"/>
    <w:rsid w:val="100737A4"/>
    <w:rsid w:val="119F5A6A"/>
    <w:rsid w:val="11EC3957"/>
    <w:rsid w:val="1D20643F"/>
    <w:rsid w:val="20D364EF"/>
    <w:rsid w:val="253D04D1"/>
    <w:rsid w:val="25BC29D5"/>
    <w:rsid w:val="31B6726C"/>
    <w:rsid w:val="32003CD1"/>
    <w:rsid w:val="3C4568D4"/>
    <w:rsid w:val="446901C1"/>
    <w:rsid w:val="46C62F0F"/>
    <w:rsid w:val="498B162F"/>
    <w:rsid w:val="53C65544"/>
    <w:rsid w:val="54B576DE"/>
    <w:rsid w:val="58076AD8"/>
    <w:rsid w:val="5868586E"/>
    <w:rsid w:val="5EBC0FFB"/>
    <w:rsid w:val="61905628"/>
    <w:rsid w:val="64CF0348"/>
    <w:rsid w:val="69B313B8"/>
    <w:rsid w:val="6A2F1733"/>
    <w:rsid w:val="6B452017"/>
    <w:rsid w:val="6BBA1B4A"/>
    <w:rsid w:val="6C647510"/>
    <w:rsid w:val="70611DCF"/>
    <w:rsid w:val="72A12B55"/>
    <w:rsid w:val="75291731"/>
    <w:rsid w:val="79933954"/>
    <w:rsid w:val="7A7B191D"/>
    <w:rsid w:val="BFDA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4864</Words>
  <Characters>4964</Characters>
  <Lines>37</Lines>
  <Paragraphs>10</Paragraphs>
  <TotalTime>2</TotalTime>
  <ScaleCrop>false</ScaleCrop>
  <LinksUpToDate>false</LinksUpToDate>
  <CharactersWithSpaces>4982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2025-02-28T01:14:00Z</dcterms:created>
  <dc:creator>农业局赵光辉</dc:creator>
  <cp:lastModifiedBy>w</cp:lastModifiedBy>
  <cp:lastPrinted>2025-02-28T01:00:00Z</cp:lastPrinted>
  <dcterms:modified xsi:type="dcterms:W3CDTF">2026-02-03T06:04:04Z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BD320366FCD744D3A5815775B48DCC72_13</vt:lpwstr>
  </property>
  <property fmtid="{D5CDD505-2E9C-101B-9397-08002B2CF9AE}" pid="4" name="KSOTemplateDocerSaveRecord">
    <vt:lpwstr>eyJoZGlkIjoiM2ZkOWNjZjY4MzUzMWRkZGViZDM2MTA3ZWE0OWYwMmQiLCJ1c2VySWQiOiI1MjExMTA5OTcifQ==</vt:lpwstr>
  </property>
</Properties>
</file>