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D7B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sz w:val="40"/>
          <w:szCs w:val="40"/>
        </w:rPr>
        <w:t>鸡东县中心城区声环境功能区划分实施方案</w:t>
      </w:r>
    </w:p>
    <w:p w14:paraId="44D3D2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sz w:val="40"/>
          <w:szCs w:val="40"/>
        </w:rPr>
        <w:t>（征求意见稿）</w:t>
      </w:r>
    </w:p>
    <w:p w14:paraId="4CCACF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</w:p>
    <w:p w14:paraId="12AD0F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一、指导思想</w:t>
      </w:r>
    </w:p>
    <w:p w14:paraId="2800F4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以习近平生态文明思想为指导，深入贯彻《中华人民共和国环境保护法》《中华人民共和国噪声污染防治法》，立足鸡东县中心城区发展实际，以 “分区管控、精准治噪” 为核心，结合国土空间总体规划与用地现状，科学划定声环境功能区。通过明确各类区域噪声管控标准与责任分工，构建 “源头防控、过程治理、末端监管” 的噪声污染防治体系，切实减少噪声污染对居民生活的影响，助力建设生态宜居、宁静舒适的现代化中心城区。</w:t>
      </w:r>
    </w:p>
    <w:p w14:paraId="1B0918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二、划分原则</w:t>
      </w:r>
    </w:p>
    <w:p w14:paraId="04F2F5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2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1"/>
          <w:szCs w:val="31"/>
          <w:shd w:val="clear" w:color="auto" w:fill="FFFFFF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规范导向原则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严格遵循《声环境功能区划分技术规范》（GB/T15190-2014），确保划分方法、区域分类、标准适用等符合国家技术要求，单块声环境功能区面积原则上不小于 0.5km²，山区等地形特殊区域可结合实际调整。</w:t>
      </w:r>
    </w:p>
    <w:p w14:paraId="073015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2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1"/>
          <w:szCs w:val="31"/>
          <w:shd w:val="clear" w:color="auto" w:fill="FFFFFF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规划衔接原则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以《鸡东县国土空间总体规划（2021-2035 年）》为核心依据，同步衔接城镇用地性质、空间结构、交通路网规划，确保声环境功能区划分与城镇发展方向一致，覆盖中心城区集中建设区全部范围。</w:t>
      </w:r>
    </w:p>
    <w:p w14:paraId="085BEC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2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1"/>
          <w:szCs w:val="31"/>
          <w:shd w:val="clear" w:color="auto" w:fill="FFFFFF"/>
        </w:rPr>
        <w:t>（三）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管理实用原则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划分结果需便于环境噪声日常监管与治理，优先保障 1 类区完整性，严格控制 4 类区范围，避免功能区交叉重叠导致管理混乱。</w:t>
      </w:r>
    </w:p>
    <w:p w14:paraId="24796F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三、划分依据</w:t>
      </w:r>
    </w:p>
    <w:p w14:paraId="39EC3A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20" w:firstLineChars="200"/>
        <w:jc w:val="both"/>
        <w:textAlignment w:val="auto"/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  <w:t>《中华人民共和国环境保护法》、《中华人民共和国噪声污染防治法》、《声环境功能区划分技术规范》、《声环境质量标准》、《城镇用地分类与规划建设用地标准》、《环境噪声监测技术规范-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val="en-US" w:eastAsia="zh-CN"/>
        </w:rPr>
        <w:t>城市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  <w:t>声环境常规监测》、《环境噪声监测技术规范-噪声测量值修正》、《声学、机动车定置噪声测量方法》、《铁路边界噪声限值及其测量方法》、《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val="en-US" w:eastAsia="zh-CN"/>
        </w:rPr>
        <w:t>电声学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  <w:t>声校准器》、《社会生活环境噪声排放标准》、《工业企业厂界环境噪声排放标准》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</w:rPr>
        <w:t>等法律、法规、规章、政策和技术规范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</w:rPr>
        <w:t>并与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  <w:t>《鸡东县国土空间总体规划（2021-2035年）》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</w:rPr>
        <w:t>相适应</w:t>
      </w:r>
      <w:r>
        <w:rPr>
          <w:rFonts w:hint="default" w:ascii="Times New Roman" w:hAnsi="Times New Roman" w:eastAsia="仿宋_GB2312" w:cs="Times New Roman"/>
          <w:sz w:val="31"/>
          <w:szCs w:val="31"/>
          <w:shd w:val="clear" w:color="auto" w:fill="FFFFFF"/>
          <w:lang w:eastAsia="zh-CN"/>
        </w:rPr>
        <w:t>。</w:t>
      </w:r>
    </w:p>
    <w:p w14:paraId="3DF8F7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四、划定思路</w:t>
      </w:r>
    </w:p>
    <w:p w14:paraId="0C4408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本次声环境功能区划定以《鸡东县国土空间总体规划（2021-2035 年）》明确的中心城区集中建设区为范围，先结合用地现状与规划性质明确功能导向清晰的区域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因中心城区无康复疗养区等特别需要安静的场景暂不划定 0 类区，优先划定以居住、文教、医疗为主的 1 类区和以工业、仓储为主的 3 类区，再将未划入 0、1、3 类区的居住商业工业混杂区域划为 2 类区，最后依据交通干线类型（公路、铁路）及相邻功能区类别，划定 4 类区（含 4a 类公路两侧、4b 类铁路两侧区域）；划定过程中充分利用铁路、主干路、河流、行政社区边界等自然或人工地物作为清晰边界，同时兼顾动态衔接需求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对规划待建交通干线明确 “建成后按标准划入 4 类区”，对用地性质过渡期区域以现状功能为划分依据，待规划落地后及时调整，确保划分结果既符合当前管理需求，又适配城镇未来发展。</w:t>
      </w:r>
    </w:p>
    <w:p w14:paraId="5B0CAE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五、术语和定义</w:t>
      </w:r>
    </w:p>
    <w:p w14:paraId="051F8E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声环境功能区</w:t>
      </w:r>
    </w:p>
    <w:p w14:paraId="1A20BE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指根据区域使用功能特点和环境质量要求，划定的执行不同声环境质量标准的区域，分为 0 类、1 类、2 类、3 类、4 类（含 4a 类、4b 类）。</w:t>
      </w:r>
    </w:p>
    <w:p w14:paraId="3775C2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 类声环境功能区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指以居民住宅、医疗卫生、文化教育、科研设计、行政办公为主要功能，需要保持安静的区域。</w:t>
      </w:r>
    </w:p>
    <w:p w14:paraId="74E0B1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 类声环境功能区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指以商业金融、集市贸易为主要功能，或居住、商业、工业混杂，需要维护住宅安静的区域。</w:t>
      </w:r>
    </w:p>
    <w:p w14:paraId="04FB73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 类声环境功能区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指以工业生产、仓储物流为主要功能，需要防止工业噪声对周围环境产生严重影响的区域。</w:t>
      </w:r>
    </w:p>
    <w:p w14:paraId="370E4E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4 类声环境功能区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指交通干线两侧一定距离内，需要防止交通噪声对周围环境产生严重影响的区域，其中 4a 类为公路、城镇主次干路等两侧区域，4b 类为铁路干线两侧区域。</w:t>
      </w:r>
    </w:p>
    <w:p w14:paraId="3D2E511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4C2595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噪声敏感建筑物</w:t>
      </w:r>
    </w:p>
    <w:p w14:paraId="65A9796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指医院、学校、机关、科研单位、住宅等需要保持安静的建筑物。</w:t>
      </w:r>
    </w:p>
    <w:p w14:paraId="27EBDAD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（三）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等效声级（Leq）</w:t>
      </w:r>
    </w:p>
    <w:p w14:paraId="45FF453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指在规定测量时间内，声级的能量平均值，是衡量区域声环境质量的核心指标。</w:t>
      </w:r>
    </w:p>
    <w:p w14:paraId="36988E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六、声环境标准</w:t>
      </w:r>
    </w:p>
    <w:tbl>
      <w:tblPr>
        <w:tblStyle w:val="7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430"/>
        <w:gridCol w:w="2859"/>
        <w:gridCol w:w="2860"/>
      </w:tblGrid>
      <w:tr w14:paraId="4FA32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59" w:type="dxa"/>
            <w:gridSpan w:val="2"/>
            <w:vMerge w:val="restart"/>
            <w:vAlign w:val="center"/>
          </w:tcPr>
          <w:p w14:paraId="1F1FE9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声环境功能区类别</w:t>
            </w:r>
          </w:p>
        </w:tc>
        <w:tc>
          <w:tcPr>
            <w:tcW w:w="5719" w:type="dxa"/>
            <w:gridSpan w:val="2"/>
            <w:vAlign w:val="center"/>
          </w:tcPr>
          <w:p w14:paraId="3F7BD5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时段</w:t>
            </w:r>
          </w:p>
        </w:tc>
      </w:tr>
      <w:tr w14:paraId="3933D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59" w:type="dxa"/>
            <w:gridSpan w:val="2"/>
            <w:vMerge w:val="continue"/>
            <w:vAlign w:val="center"/>
          </w:tcPr>
          <w:p w14:paraId="23D9C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</w:rPr>
            </w:pPr>
          </w:p>
        </w:tc>
        <w:tc>
          <w:tcPr>
            <w:tcW w:w="2859" w:type="dxa"/>
            <w:vAlign w:val="center"/>
          </w:tcPr>
          <w:p w14:paraId="4ABBE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昼间</w:t>
            </w:r>
          </w:p>
        </w:tc>
        <w:tc>
          <w:tcPr>
            <w:tcW w:w="2860" w:type="dxa"/>
            <w:vAlign w:val="center"/>
          </w:tcPr>
          <w:p w14:paraId="29AAC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夜间</w:t>
            </w:r>
          </w:p>
        </w:tc>
      </w:tr>
      <w:tr w14:paraId="2A444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59" w:type="dxa"/>
            <w:gridSpan w:val="2"/>
            <w:vAlign w:val="center"/>
          </w:tcPr>
          <w:p w14:paraId="55004A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0类</w:t>
            </w:r>
          </w:p>
        </w:tc>
        <w:tc>
          <w:tcPr>
            <w:tcW w:w="2859" w:type="dxa"/>
            <w:vAlign w:val="center"/>
          </w:tcPr>
          <w:p w14:paraId="1212AA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2860" w:type="dxa"/>
            <w:vAlign w:val="center"/>
          </w:tcPr>
          <w:p w14:paraId="0E832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40</w:t>
            </w:r>
          </w:p>
        </w:tc>
      </w:tr>
      <w:tr w14:paraId="573E8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59" w:type="dxa"/>
            <w:gridSpan w:val="2"/>
            <w:vAlign w:val="center"/>
          </w:tcPr>
          <w:p w14:paraId="6B83B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1类</w:t>
            </w:r>
          </w:p>
        </w:tc>
        <w:tc>
          <w:tcPr>
            <w:tcW w:w="2859" w:type="dxa"/>
            <w:vAlign w:val="center"/>
          </w:tcPr>
          <w:p w14:paraId="37B2E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55</w:t>
            </w:r>
          </w:p>
        </w:tc>
        <w:tc>
          <w:tcPr>
            <w:tcW w:w="2860" w:type="dxa"/>
            <w:vAlign w:val="center"/>
          </w:tcPr>
          <w:p w14:paraId="033C5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45</w:t>
            </w:r>
          </w:p>
        </w:tc>
      </w:tr>
      <w:tr w14:paraId="77AC7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59" w:type="dxa"/>
            <w:gridSpan w:val="2"/>
            <w:vAlign w:val="center"/>
          </w:tcPr>
          <w:p w14:paraId="0809B1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2类</w:t>
            </w:r>
          </w:p>
        </w:tc>
        <w:tc>
          <w:tcPr>
            <w:tcW w:w="2859" w:type="dxa"/>
            <w:vAlign w:val="center"/>
          </w:tcPr>
          <w:p w14:paraId="7DFE01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60</w:t>
            </w:r>
          </w:p>
        </w:tc>
        <w:tc>
          <w:tcPr>
            <w:tcW w:w="2860" w:type="dxa"/>
            <w:vAlign w:val="center"/>
          </w:tcPr>
          <w:p w14:paraId="7E120C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  <w:tr w14:paraId="1F33A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59" w:type="dxa"/>
            <w:gridSpan w:val="2"/>
            <w:vAlign w:val="center"/>
          </w:tcPr>
          <w:p w14:paraId="7BE766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 类</w:t>
            </w:r>
          </w:p>
        </w:tc>
        <w:tc>
          <w:tcPr>
            <w:tcW w:w="2859" w:type="dxa"/>
            <w:vAlign w:val="center"/>
          </w:tcPr>
          <w:p w14:paraId="4E2876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65</w:t>
            </w:r>
          </w:p>
        </w:tc>
        <w:tc>
          <w:tcPr>
            <w:tcW w:w="2860" w:type="dxa"/>
            <w:vAlign w:val="center"/>
          </w:tcPr>
          <w:p w14:paraId="334B7F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55</w:t>
            </w:r>
          </w:p>
        </w:tc>
      </w:tr>
      <w:tr w14:paraId="30A25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1429" w:type="dxa"/>
            <w:vMerge w:val="restart"/>
            <w:vAlign w:val="center"/>
          </w:tcPr>
          <w:p w14:paraId="7427B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4类</w:t>
            </w:r>
          </w:p>
        </w:tc>
        <w:tc>
          <w:tcPr>
            <w:tcW w:w="1430" w:type="dxa"/>
            <w:vAlign w:val="center"/>
          </w:tcPr>
          <w:p w14:paraId="2D05D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4a类</w:t>
            </w:r>
          </w:p>
        </w:tc>
        <w:tc>
          <w:tcPr>
            <w:tcW w:w="2859" w:type="dxa"/>
            <w:vAlign w:val="center"/>
          </w:tcPr>
          <w:p w14:paraId="06300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70</w:t>
            </w:r>
          </w:p>
        </w:tc>
        <w:tc>
          <w:tcPr>
            <w:tcW w:w="2860" w:type="dxa"/>
            <w:vAlign w:val="center"/>
          </w:tcPr>
          <w:p w14:paraId="68042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55</w:t>
            </w:r>
          </w:p>
        </w:tc>
      </w:tr>
      <w:tr w14:paraId="406FE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1429" w:type="dxa"/>
            <w:vMerge w:val="continue"/>
            <w:vAlign w:val="center"/>
          </w:tcPr>
          <w:p w14:paraId="701DE9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</w:rPr>
            </w:pPr>
          </w:p>
        </w:tc>
        <w:tc>
          <w:tcPr>
            <w:tcW w:w="1430" w:type="dxa"/>
            <w:vAlign w:val="center"/>
          </w:tcPr>
          <w:p w14:paraId="4F6AF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4b类</w:t>
            </w:r>
          </w:p>
        </w:tc>
        <w:tc>
          <w:tcPr>
            <w:tcW w:w="2859" w:type="dxa"/>
            <w:vAlign w:val="center"/>
          </w:tcPr>
          <w:p w14:paraId="45A11E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70</w:t>
            </w:r>
          </w:p>
        </w:tc>
        <w:tc>
          <w:tcPr>
            <w:tcW w:w="2860" w:type="dxa"/>
            <w:vAlign w:val="center"/>
          </w:tcPr>
          <w:p w14:paraId="4A2DF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60</w:t>
            </w:r>
          </w:p>
        </w:tc>
      </w:tr>
    </w:tbl>
    <w:p w14:paraId="2D9BDE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注：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各类声环境功能区夜间突发噪声，其最大声级超过环境噪声限值的幅度不得高于15dB(A)。</w:t>
      </w:r>
    </w:p>
    <w:p w14:paraId="1232D0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七、划分结果</w:t>
      </w:r>
    </w:p>
    <w:p w14:paraId="1CF4EB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《鸡东县国土空间总体规划（2021-2035年）》中心城区土地使用规划图、用地现状及城市发展的需求，环境噪声适用区划分以保护生活环境和生态环境，保障人民群众身体健康为宗旨。按照《声环境功能区划分技术规范》（GB/T15190-2014）的原则和方法进行划分。把多个区域类型相同且相邻的单元连成片，充分利用乡镇（街道）行政边界、规划小区边界、道路、河流、沟壑、绿地等自然地形作为区域边界。中心城区集中建设区声环境功能区划分统计见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-1、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-2，具体鸡东县城区声功能区图详见附图1。</w:t>
      </w:r>
    </w:p>
    <w:p w14:paraId="43E61B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-1中心城区集中建设区声环境功能区划分统计表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6"/>
        <w:gridCol w:w="2116"/>
        <w:gridCol w:w="2117"/>
        <w:gridCol w:w="2117"/>
      </w:tblGrid>
      <w:tr w14:paraId="1E797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16" w:type="dxa"/>
            <w:noWrap w:val="0"/>
            <w:vAlign w:val="center"/>
          </w:tcPr>
          <w:p w14:paraId="2A844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功能区类别</w:t>
            </w:r>
          </w:p>
        </w:tc>
        <w:tc>
          <w:tcPr>
            <w:tcW w:w="2116" w:type="dxa"/>
            <w:noWrap w:val="0"/>
            <w:vAlign w:val="center"/>
          </w:tcPr>
          <w:p w14:paraId="075C95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区块数量</w:t>
            </w:r>
          </w:p>
        </w:tc>
        <w:tc>
          <w:tcPr>
            <w:tcW w:w="2117" w:type="dxa"/>
            <w:noWrap w:val="0"/>
            <w:vAlign w:val="center"/>
          </w:tcPr>
          <w:p w14:paraId="2409E5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面积</w:t>
            </w:r>
          </w:p>
        </w:tc>
        <w:tc>
          <w:tcPr>
            <w:tcW w:w="2117" w:type="dxa"/>
            <w:noWrap w:val="0"/>
            <w:vAlign w:val="center"/>
          </w:tcPr>
          <w:p w14:paraId="1CF61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面积占比</w:t>
            </w:r>
          </w:p>
        </w:tc>
      </w:tr>
      <w:tr w14:paraId="04D5B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16" w:type="dxa"/>
            <w:noWrap w:val="0"/>
            <w:vAlign w:val="center"/>
          </w:tcPr>
          <w:p w14:paraId="523285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1类标准适用区</w:t>
            </w:r>
          </w:p>
        </w:tc>
        <w:tc>
          <w:tcPr>
            <w:tcW w:w="2116" w:type="dxa"/>
            <w:noWrap w:val="0"/>
            <w:vAlign w:val="center"/>
          </w:tcPr>
          <w:p w14:paraId="60D1E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117" w:type="dxa"/>
            <w:noWrap w:val="0"/>
            <w:vAlign w:val="center"/>
          </w:tcPr>
          <w:p w14:paraId="22D4AE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6.0407</w:t>
            </w:r>
          </w:p>
        </w:tc>
        <w:tc>
          <w:tcPr>
            <w:tcW w:w="2117" w:type="dxa"/>
            <w:noWrap w:val="0"/>
            <w:vAlign w:val="center"/>
          </w:tcPr>
          <w:p w14:paraId="4D2C2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46.52%</w:t>
            </w:r>
          </w:p>
        </w:tc>
      </w:tr>
      <w:tr w14:paraId="6C0BD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16" w:type="dxa"/>
            <w:noWrap w:val="0"/>
            <w:vAlign w:val="center"/>
          </w:tcPr>
          <w:p w14:paraId="71B68B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2类标准适用区</w:t>
            </w:r>
          </w:p>
        </w:tc>
        <w:tc>
          <w:tcPr>
            <w:tcW w:w="2116" w:type="dxa"/>
            <w:noWrap w:val="0"/>
            <w:vAlign w:val="center"/>
          </w:tcPr>
          <w:p w14:paraId="6E3EDA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117" w:type="dxa"/>
            <w:noWrap w:val="0"/>
            <w:vAlign w:val="center"/>
          </w:tcPr>
          <w:p w14:paraId="73B79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2.7443</w:t>
            </w:r>
          </w:p>
        </w:tc>
        <w:tc>
          <w:tcPr>
            <w:tcW w:w="2117" w:type="dxa"/>
            <w:noWrap w:val="0"/>
            <w:vAlign w:val="center"/>
          </w:tcPr>
          <w:p w14:paraId="617B83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21.14%</w:t>
            </w:r>
          </w:p>
        </w:tc>
      </w:tr>
      <w:tr w14:paraId="7D4AE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16" w:type="dxa"/>
            <w:noWrap w:val="0"/>
            <w:vAlign w:val="center"/>
          </w:tcPr>
          <w:p w14:paraId="01F364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3类标准适用区</w:t>
            </w:r>
          </w:p>
        </w:tc>
        <w:tc>
          <w:tcPr>
            <w:tcW w:w="2116" w:type="dxa"/>
            <w:noWrap w:val="0"/>
            <w:vAlign w:val="center"/>
          </w:tcPr>
          <w:p w14:paraId="4E06C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117" w:type="dxa"/>
            <w:noWrap w:val="0"/>
            <w:vAlign w:val="center"/>
          </w:tcPr>
          <w:p w14:paraId="607708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3.6572</w:t>
            </w:r>
          </w:p>
        </w:tc>
        <w:tc>
          <w:tcPr>
            <w:tcW w:w="2117" w:type="dxa"/>
            <w:noWrap w:val="0"/>
            <w:vAlign w:val="center"/>
          </w:tcPr>
          <w:p w14:paraId="068EB8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28.17%</w:t>
            </w:r>
          </w:p>
        </w:tc>
      </w:tr>
      <w:tr w14:paraId="6CC01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16" w:type="dxa"/>
            <w:noWrap w:val="0"/>
            <w:vAlign w:val="center"/>
          </w:tcPr>
          <w:p w14:paraId="2F141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4类标准适用区</w:t>
            </w:r>
          </w:p>
        </w:tc>
        <w:tc>
          <w:tcPr>
            <w:tcW w:w="2116" w:type="dxa"/>
            <w:noWrap w:val="0"/>
            <w:vAlign w:val="center"/>
          </w:tcPr>
          <w:p w14:paraId="2F169F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117" w:type="dxa"/>
            <w:noWrap w:val="0"/>
            <w:vAlign w:val="center"/>
          </w:tcPr>
          <w:p w14:paraId="047C7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0.5421</w:t>
            </w:r>
          </w:p>
        </w:tc>
        <w:tc>
          <w:tcPr>
            <w:tcW w:w="2117" w:type="dxa"/>
            <w:noWrap w:val="0"/>
            <w:vAlign w:val="center"/>
          </w:tcPr>
          <w:p w14:paraId="6ACFC9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4.18%</w:t>
            </w:r>
          </w:p>
        </w:tc>
      </w:tr>
    </w:tbl>
    <w:p w14:paraId="57860C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both"/>
        <w:textAlignment w:val="auto"/>
        <w:rPr>
          <w:rFonts w:hint="default" w:ascii="Times New Roman" w:hAnsi="Times New Roman" w:eastAsia="仿宋_GB2312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1"/>
          <w:szCs w:val="21"/>
          <w:lang w:val="en-US" w:eastAsia="zh-CN"/>
        </w:rPr>
        <w:t>注：4类声环境功能区划分中鸡东县中心城区内主干路、次干路、铁路等两侧一定距离范围内区域（不统计区块数量）</w:t>
      </w:r>
    </w:p>
    <w:p w14:paraId="09DBFB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中心城区集中建设区声环境功能区划分总面积12.9843平方千米，其中 1 类声环境功能区面积6.0407平方千米，占划分总面积的46.52% ；2类声环境功能区面积2.7443平方千米，占划分总面积的21.14% ；3类声环境功能区面积3.6572平方千米，占划分总面积的28.17% ；4类声环境功能区面积为0.5421平方千米，占划分总面积的4.18%。</w:t>
      </w:r>
    </w:p>
    <w:p w14:paraId="6BCE90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-2鸡东县中心城区声环境功能区划分结果一览表（1~3类）</w:t>
      </w:r>
    </w:p>
    <w:tbl>
      <w:tblPr>
        <w:tblStyle w:val="7"/>
        <w:tblW w:w="87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065"/>
        <w:gridCol w:w="1020"/>
        <w:gridCol w:w="3675"/>
        <w:gridCol w:w="2071"/>
      </w:tblGrid>
      <w:tr w14:paraId="72EEF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tcBorders>
              <w:tl2br w:val="nil"/>
              <w:tr2bl w:val="nil"/>
            </w:tcBorders>
            <w:noWrap w:val="0"/>
            <w:vAlign w:val="center"/>
          </w:tcPr>
          <w:p w14:paraId="7C5631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功能区类别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45E0C7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区域单元编号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78A13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面积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km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）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316A51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边界范围</w:t>
            </w:r>
          </w:p>
        </w:tc>
        <w:tc>
          <w:tcPr>
            <w:tcW w:w="2071" w:type="dxa"/>
            <w:tcBorders>
              <w:tl2br w:val="nil"/>
              <w:tr2bl w:val="nil"/>
            </w:tcBorders>
            <w:noWrap w:val="0"/>
            <w:vAlign w:val="center"/>
          </w:tcPr>
          <w:p w14:paraId="723F6D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规划用地性质</w:t>
            </w:r>
          </w:p>
        </w:tc>
      </w:tr>
      <w:tr w14:paraId="694D1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A41E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1类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44DC7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1-1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605BAA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4.7986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339E7E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果园路-解放路-银丰大街-新峰路南段北华大街-鸡古路以北至中心城区规划范围边界</w:t>
            </w:r>
          </w:p>
        </w:tc>
        <w:tc>
          <w:tcPr>
            <w:tcW w:w="2071" w:type="dxa"/>
            <w:tcBorders>
              <w:tl2br w:val="nil"/>
              <w:tr2bl w:val="nil"/>
            </w:tcBorders>
            <w:noWrap w:val="0"/>
            <w:vAlign w:val="center"/>
          </w:tcPr>
          <w:p w14:paraId="43399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居住、文教、公园、农林用地为主</w:t>
            </w:r>
          </w:p>
        </w:tc>
      </w:tr>
      <w:tr w14:paraId="0B4A3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A028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2F47F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1-2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0F0125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0.8173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65FEAC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鸡东县南外环路-南华大街-鸡密支线</w:t>
            </w:r>
          </w:p>
        </w:tc>
        <w:tc>
          <w:tcPr>
            <w:tcW w:w="207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91980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居住、农林用地为主</w:t>
            </w:r>
          </w:p>
        </w:tc>
      </w:tr>
      <w:tr w14:paraId="5445F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F71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65704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1-3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6B46D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0.4248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558C7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鸡东县南外环路-福圆驾校道口路以西至中心城区规划范围边界</w:t>
            </w:r>
          </w:p>
        </w:tc>
        <w:tc>
          <w:tcPr>
            <w:tcW w:w="207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DE8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02616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2ACA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2类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2D683B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2-1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31E0B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1.4037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278B4B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鸡东县南外环路-果园路-解放路-银峰大街-城建路-鸡密支线</w:t>
            </w:r>
          </w:p>
        </w:tc>
        <w:tc>
          <w:tcPr>
            <w:tcW w:w="2071" w:type="dxa"/>
            <w:tcBorders>
              <w:tl2br w:val="nil"/>
              <w:tr2bl w:val="nil"/>
            </w:tcBorders>
            <w:noWrap w:val="0"/>
            <w:vAlign w:val="center"/>
          </w:tcPr>
          <w:p w14:paraId="7CA17F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居住、商业、工业混杂区</w:t>
            </w:r>
          </w:p>
        </w:tc>
      </w:tr>
      <w:tr w14:paraId="201BB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BB22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40C9E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2-2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013EDF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1.3406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68398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城建路-新峰路南段-北华大街-新医圣路-兴东路-南华大街</w:t>
            </w:r>
          </w:p>
        </w:tc>
        <w:tc>
          <w:tcPr>
            <w:tcW w:w="2071" w:type="dxa"/>
            <w:tcBorders>
              <w:tl2br w:val="nil"/>
              <w:tr2bl w:val="nil"/>
            </w:tcBorders>
            <w:noWrap w:val="0"/>
            <w:vAlign w:val="center"/>
          </w:tcPr>
          <w:p w14:paraId="023DA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居住、商业、工业混杂区</w:t>
            </w:r>
          </w:p>
        </w:tc>
      </w:tr>
      <w:tr w14:paraId="14D7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3033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3类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69DB01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3-1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0EDB07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0.8531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0497F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鸡东县南外环路-福圆驾校道口路以南至中心城区规划范围边界</w:t>
            </w:r>
          </w:p>
        </w:tc>
        <w:tc>
          <w:tcPr>
            <w:tcW w:w="2071" w:type="dxa"/>
            <w:tcBorders>
              <w:tl2br w:val="nil"/>
              <w:tr2bl w:val="nil"/>
            </w:tcBorders>
            <w:noWrap w:val="0"/>
            <w:vAlign w:val="center"/>
          </w:tcPr>
          <w:p w14:paraId="1632D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工业、矿业区</w:t>
            </w:r>
          </w:p>
        </w:tc>
      </w:tr>
      <w:tr w14:paraId="773B4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DBCE2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noWrap w:val="0"/>
            <w:vAlign w:val="center"/>
          </w:tcPr>
          <w:p w14:paraId="02C9DA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3-2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noWrap w:val="0"/>
            <w:vAlign w:val="center"/>
          </w:tcPr>
          <w:p w14:paraId="5B71D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2.8041</w:t>
            </w:r>
          </w:p>
        </w:tc>
        <w:tc>
          <w:tcPr>
            <w:tcW w:w="3675" w:type="dxa"/>
            <w:tcBorders>
              <w:tl2br w:val="nil"/>
              <w:tr2bl w:val="nil"/>
            </w:tcBorders>
            <w:noWrap w:val="0"/>
            <w:vAlign w:val="center"/>
          </w:tcPr>
          <w:p w14:paraId="54FF03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鸡东县南外环路-南华大街-兴东路-新医圣路-鸡古线以东至中心城区规划范围边界</w:t>
            </w:r>
          </w:p>
        </w:tc>
        <w:tc>
          <w:tcPr>
            <w:tcW w:w="2071" w:type="dxa"/>
            <w:tcBorders>
              <w:tl2br w:val="nil"/>
              <w:tr2bl w:val="nil"/>
            </w:tcBorders>
            <w:noWrap w:val="0"/>
            <w:vAlign w:val="center"/>
          </w:tcPr>
          <w:p w14:paraId="3EF45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工业、物流区</w:t>
            </w:r>
          </w:p>
        </w:tc>
      </w:tr>
    </w:tbl>
    <w:p w14:paraId="2CD7F0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-3鸡东县中心城区声环境功能区划分结果一览表（4a类）</w:t>
      </w:r>
    </w:p>
    <w:tbl>
      <w:tblPr>
        <w:tblStyle w:val="6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595"/>
        <w:gridCol w:w="1585"/>
        <w:gridCol w:w="950"/>
        <w:gridCol w:w="900"/>
        <w:gridCol w:w="2745"/>
        <w:gridCol w:w="1199"/>
      </w:tblGrid>
      <w:tr w14:paraId="60376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319" w:type="pct"/>
            <w:tcBorders>
              <w:tl2br w:val="nil"/>
              <w:tr2bl w:val="nil"/>
            </w:tcBorders>
            <w:noWrap w:val="0"/>
            <w:vAlign w:val="center"/>
          </w:tcPr>
          <w:p w14:paraId="1EE429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类别</w:t>
            </w: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20F6B3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序号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54272F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道路名称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2E97DD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道路等级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77A30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长度（km）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0EF239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路段起止点</w:t>
            </w:r>
          </w:p>
        </w:tc>
        <w:tc>
          <w:tcPr>
            <w:tcW w:w="703" w:type="pct"/>
            <w:tcBorders>
              <w:tl2br w:val="nil"/>
              <w:tr2bl w:val="nil"/>
            </w:tcBorders>
            <w:noWrap w:val="0"/>
            <w:vAlign w:val="center"/>
          </w:tcPr>
          <w:p w14:paraId="5E0EEA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适用区域</w:t>
            </w:r>
          </w:p>
        </w:tc>
      </w:tr>
      <w:tr w14:paraId="3F05E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4B6E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4a</w:t>
            </w: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026BE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1313B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得胜路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4E7C64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04448F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2.05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6FF2E4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南华大街-北华大街</w:t>
            </w:r>
          </w:p>
        </w:tc>
        <w:tc>
          <w:tcPr>
            <w:tcW w:w="70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DF58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道路两侧各距红线垂直距离为：</w:t>
            </w:r>
          </w:p>
          <w:p w14:paraId="0CA469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相邻1类区域为50米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；</w:t>
            </w:r>
          </w:p>
          <w:p w14:paraId="1F3D8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2类区域为35米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；</w:t>
            </w:r>
          </w:p>
          <w:p w14:paraId="586AC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3类区域为20米。</w:t>
            </w:r>
          </w:p>
          <w:p w14:paraId="07D997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0714D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BA03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55E198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325531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B39A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1C5C0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2.691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496C7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二中桥头-新医圣路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8C52B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256EA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AD7D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4BB1F6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792F41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北华大街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37037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40A976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2.2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761D4E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党校-新医圣路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4DB0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02D93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30E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5F637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242EB8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鸡古路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1B89FA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0D0E0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0.91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26666C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47FA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7F85D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AC7F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09AE0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54BF2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0BCBE0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05647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3.569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697234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兴东路-得胜路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51D2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78FC4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DC3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518D1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6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3DDC1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银峰大街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111A8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07739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1.644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4CBF96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三中小铁桥-站前路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D30A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438D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E27C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0CE56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7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332D8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红星路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5D11C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619D1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 xml:space="preserve">2.110 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199386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中心大街-银峰路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0EA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3D693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587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6BDC32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8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189EE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复兴路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57C9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381880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 xml:space="preserve">0.229 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7D0C9F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振兴大街-中心大街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82B6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5FCAB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88D86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3F541F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9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41B5F3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振兴大街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0EA915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6E180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3.371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2717DE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新医圣路-得胜路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81CE0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78B49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DF22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3F03A1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7EE2F5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解放路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00571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0727A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1.002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1D62F6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B18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4AA28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DC6C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5C983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11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70EAF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昌平路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7F7574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34296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0.6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3B7839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中心大街-解放路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8A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375C9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6F348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1C62B2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12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58C511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果园路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23A90E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5E1122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1.108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30F766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南华大街-公墓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09C4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6BCD7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973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4CD73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13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389137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向阳路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2D538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7CA43D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 xml:space="preserve">0.56 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41855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南华大街-平房区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2E20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64815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415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4BD016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14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513BE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银山路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8EC0A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45391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 xml:space="preserve">0.847 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3A53A4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南华大街-大矿水泥路头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E6A6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7493F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C22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6E9977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15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458514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新建路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2F9BD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72990D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0.15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45086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中心大街-振兴大街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3CF5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7C184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586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3E0702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16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5559D6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城建路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1F45F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0CB96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0.36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5D5BE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振兴大街-南华大街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2B30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29D58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357C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650C1A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17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4EFCB9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激光路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59BE59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562B65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0.25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6462F9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振兴大街-南华大街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2C3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105E0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EE2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27D8AE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18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27B58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公安路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446071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19444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0.21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5C540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F78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2C653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2D4E9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430BCF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19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099A9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宾馆路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3225EC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2DB6FC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0.563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598AA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南华大街-宾馆会议室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85D4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5885C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B0101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632F32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782AE9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振东路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2F148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7838C9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0.2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303AE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DAE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32D27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3FC9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1851B4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21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1BA65B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繁荣路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C1C2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7B86C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 xml:space="preserve">0.2525 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3652E8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77ACB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649EB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130E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03F7FF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22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7C241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康健路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7BFF55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262C1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0.182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248387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中心大街-振兴大街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AA47D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</w:tr>
      <w:tr w14:paraId="083CB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104A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378C30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23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66200A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集贤路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21D0B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5A0D2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1.466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128A78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振兴大街-南华大街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F808D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7E3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A46A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137E05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24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1CAAE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兴东路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73076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7E672B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0.52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79E3B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南华大街-中心大街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7CA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F686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040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3F4FE3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499DEB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东山街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066C5C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主干路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39E0F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1.358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221BC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新医圣路-鸡密南路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347B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B120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4A3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51D82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1F5E0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校园路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A39EB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1E46D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0.212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0FDBFB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北华大街-学园街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1602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D0A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467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4C9AF2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3C0790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长益路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6855E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6082A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0.268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576E0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德胜沟-北华大街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CDED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A4F6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1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0A97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 w14:paraId="6EF97B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 w14:paraId="014EA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新峰路</w:t>
            </w:r>
          </w:p>
        </w:tc>
        <w:tc>
          <w:tcPr>
            <w:tcW w:w="557" w:type="pct"/>
            <w:tcBorders>
              <w:tl2br w:val="nil"/>
              <w:tr2bl w:val="nil"/>
            </w:tcBorders>
            <w:noWrap w:val="0"/>
            <w:vAlign w:val="center"/>
          </w:tcPr>
          <w:p w14:paraId="7D35B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次干路</w:t>
            </w:r>
          </w:p>
        </w:tc>
        <w:tc>
          <w:tcPr>
            <w:tcW w:w="528" w:type="pct"/>
            <w:tcBorders>
              <w:tl2br w:val="nil"/>
              <w:tr2bl w:val="nil"/>
            </w:tcBorders>
            <w:noWrap w:val="0"/>
            <w:vAlign w:val="center"/>
          </w:tcPr>
          <w:p w14:paraId="6F439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0.51</w:t>
            </w:r>
          </w:p>
        </w:tc>
        <w:tc>
          <w:tcPr>
            <w:tcW w:w="1611" w:type="pct"/>
            <w:tcBorders>
              <w:tl2br w:val="nil"/>
              <w:tr2bl w:val="nil"/>
            </w:tcBorders>
            <w:noWrap w:val="0"/>
            <w:vAlign w:val="center"/>
          </w:tcPr>
          <w:p w14:paraId="69DD0E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北华大街-新峰村</w:t>
            </w:r>
          </w:p>
        </w:tc>
        <w:tc>
          <w:tcPr>
            <w:tcW w:w="70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BA9F9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FB287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上规划己确定的主次干路，建成后道路两侧的一定范围内的区域，符合《声环境功能区划分技术规范》（GB/T15190-2014）中条款8.3.1，按《声环境功能区划分技术规范》（GB/T15190-2014）中4.5条款规定划分为4a类声环境功能区。</w:t>
      </w:r>
    </w:p>
    <w:p w14:paraId="7F3F51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-4鸡东县中心城区声环境功能区划分结果一览表（4b类）</w:t>
      </w:r>
    </w:p>
    <w:tbl>
      <w:tblPr>
        <w:tblStyle w:val="6"/>
        <w:tblW w:w="85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668"/>
        <w:gridCol w:w="1727"/>
        <w:gridCol w:w="1409"/>
        <w:gridCol w:w="1648"/>
        <w:gridCol w:w="2511"/>
      </w:tblGrid>
      <w:tr w14:paraId="33840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tblHeader/>
          <w:jc w:val="center"/>
        </w:trPr>
        <w:tc>
          <w:tcPr>
            <w:tcW w:w="614" w:type="dxa"/>
            <w:tcBorders>
              <w:tl2br w:val="nil"/>
              <w:tr2bl w:val="nil"/>
            </w:tcBorders>
            <w:noWrap w:val="0"/>
            <w:vAlign w:val="center"/>
          </w:tcPr>
          <w:p w14:paraId="3252B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类别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 w14:paraId="52229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序号</w:t>
            </w:r>
          </w:p>
        </w:tc>
        <w:tc>
          <w:tcPr>
            <w:tcW w:w="1727" w:type="dxa"/>
            <w:tcBorders>
              <w:tl2br w:val="nil"/>
              <w:tr2bl w:val="nil"/>
            </w:tcBorders>
            <w:noWrap w:val="0"/>
            <w:vAlign w:val="center"/>
          </w:tcPr>
          <w:p w14:paraId="1D4186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区域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名称</w:t>
            </w:r>
          </w:p>
        </w:tc>
        <w:tc>
          <w:tcPr>
            <w:tcW w:w="1409" w:type="dxa"/>
            <w:tcBorders>
              <w:tl2br w:val="nil"/>
              <w:tr2bl w:val="nil"/>
            </w:tcBorders>
            <w:noWrap w:val="0"/>
            <w:vAlign w:val="center"/>
          </w:tcPr>
          <w:p w14:paraId="1E3B1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道路等级</w:t>
            </w:r>
          </w:p>
        </w:tc>
        <w:tc>
          <w:tcPr>
            <w:tcW w:w="1648" w:type="dxa"/>
            <w:tcBorders>
              <w:tl2br w:val="nil"/>
              <w:tr2bl w:val="nil"/>
            </w:tcBorders>
            <w:noWrap w:val="0"/>
            <w:vAlign w:val="center"/>
          </w:tcPr>
          <w:p w14:paraId="4803CF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路段起止点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noWrap w:val="0"/>
            <w:vAlign w:val="center"/>
          </w:tcPr>
          <w:p w14:paraId="62CF2E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适用区域</w:t>
            </w:r>
          </w:p>
        </w:tc>
      </w:tr>
      <w:tr w14:paraId="4F19C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61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03F1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4b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 w14:paraId="0A04B4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727" w:type="dxa"/>
            <w:tcBorders>
              <w:tl2br w:val="nil"/>
              <w:tr2bl w:val="nil"/>
            </w:tcBorders>
            <w:noWrap w:val="0"/>
            <w:vAlign w:val="center"/>
          </w:tcPr>
          <w:p w14:paraId="6C2BAB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鸡密线</w:t>
            </w:r>
          </w:p>
        </w:tc>
        <w:tc>
          <w:tcPr>
            <w:tcW w:w="1409" w:type="dxa"/>
            <w:tcBorders>
              <w:tl2br w:val="nil"/>
              <w:tr2bl w:val="nil"/>
            </w:tcBorders>
            <w:noWrap w:val="0"/>
            <w:vAlign w:val="center"/>
          </w:tcPr>
          <w:p w14:paraId="6478C2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铁路</w:t>
            </w:r>
          </w:p>
        </w:tc>
        <w:tc>
          <w:tcPr>
            <w:tcW w:w="1648" w:type="dxa"/>
            <w:tcBorders>
              <w:tl2br w:val="nil"/>
              <w:tr2bl w:val="nil"/>
            </w:tcBorders>
            <w:noWrap w:val="0"/>
            <w:vAlign w:val="center"/>
          </w:tcPr>
          <w:p w14:paraId="07BA9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鸡东镇集中建设区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界内</w:t>
            </w:r>
          </w:p>
        </w:tc>
        <w:tc>
          <w:tcPr>
            <w:tcW w:w="25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8A25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铁路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两侧各距红线垂直距离为：相邻1类区域为50米，2类区域为35米，3类区域为20米</w:t>
            </w:r>
          </w:p>
        </w:tc>
      </w:tr>
      <w:tr w14:paraId="4F2BE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  <w:jc w:val="center"/>
        </w:trPr>
        <w:tc>
          <w:tcPr>
            <w:tcW w:w="61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1A717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 w14:paraId="07D353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27" w:type="dxa"/>
            <w:tcBorders>
              <w:tl2br w:val="nil"/>
              <w:tr2bl w:val="nil"/>
            </w:tcBorders>
            <w:noWrap w:val="0"/>
            <w:vAlign w:val="center"/>
          </w:tcPr>
          <w:p w14:paraId="6C223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鸡密支线</w:t>
            </w:r>
          </w:p>
        </w:tc>
        <w:tc>
          <w:tcPr>
            <w:tcW w:w="1409" w:type="dxa"/>
            <w:tcBorders>
              <w:tl2br w:val="nil"/>
              <w:tr2bl w:val="nil"/>
            </w:tcBorders>
            <w:noWrap w:val="0"/>
            <w:vAlign w:val="center"/>
          </w:tcPr>
          <w:p w14:paraId="6F65FC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铁路</w:t>
            </w:r>
          </w:p>
        </w:tc>
        <w:tc>
          <w:tcPr>
            <w:tcW w:w="1648" w:type="dxa"/>
            <w:tcBorders>
              <w:tl2br w:val="nil"/>
              <w:tr2bl w:val="nil"/>
            </w:tcBorders>
            <w:noWrap w:val="0"/>
            <w:vAlign w:val="center"/>
          </w:tcPr>
          <w:p w14:paraId="039881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  <w:t>鸡东镇集中建设区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界内</w:t>
            </w:r>
          </w:p>
        </w:tc>
        <w:tc>
          <w:tcPr>
            <w:tcW w:w="25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835A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 w14:paraId="1DCCA40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八、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功能区变更说明</w:t>
      </w:r>
    </w:p>
    <w:p w14:paraId="3DAACB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近年集中建设区的用地类型随着城镇发展而变化，鸡东镇集中建设区建设功能用地、功能布局、城镇路网布局及声环境状况都发生了重大变化。</w:t>
      </w:r>
    </w:p>
    <w:p w14:paraId="3424A1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2020年鸡东县声环境功能区划中现鸡东镇辖区范围内共有4类区域（1类区包含3个片区，2类区包含2个片区，3类区包含3个片区），涉及21条公路交通干线和1条铁路；本次区划调整后共有4类区域（1类区包含3个片区，2类区包含2个片区，3类区包含2个片区），涉及28条公路交通干线和2条铁路。具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功能区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变更结果见下表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8-1，2020年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鸡东县城区声功能区图详见附图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2。</w:t>
      </w:r>
    </w:p>
    <w:p w14:paraId="473C99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8-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1 功能区变更一览表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1225"/>
        <w:gridCol w:w="3825"/>
        <w:gridCol w:w="1035"/>
        <w:gridCol w:w="1050"/>
        <w:gridCol w:w="4776"/>
        <w:gridCol w:w="1259"/>
      </w:tblGrid>
      <w:tr w14:paraId="1AC01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" w:hRule="atLeast"/>
          <w:jc w:val="center"/>
        </w:trPr>
        <w:tc>
          <w:tcPr>
            <w:tcW w:w="1229" w:type="dxa"/>
            <w:vMerge w:val="restart"/>
            <w:noWrap w:val="0"/>
            <w:vAlign w:val="center"/>
          </w:tcPr>
          <w:p w14:paraId="46D170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类别</w:t>
            </w:r>
          </w:p>
        </w:tc>
        <w:tc>
          <w:tcPr>
            <w:tcW w:w="6085" w:type="dxa"/>
            <w:gridSpan w:val="3"/>
            <w:noWrap w:val="0"/>
            <w:vAlign w:val="center"/>
          </w:tcPr>
          <w:p w14:paraId="10324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原区划</w:t>
            </w:r>
          </w:p>
        </w:tc>
        <w:tc>
          <w:tcPr>
            <w:tcW w:w="7085" w:type="dxa"/>
            <w:gridSpan w:val="3"/>
            <w:noWrap w:val="0"/>
            <w:vAlign w:val="center"/>
          </w:tcPr>
          <w:p w14:paraId="198A31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现区划</w:t>
            </w:r>
          </w:p>
        </w:tc>
      </w:tr>
      <w:tr w14:paraId="4CA55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229" w:type="dxa"/>
            <w:vMerge w:val="continue"/>
            <w:noWrap w:val="0"/>
            <w:vAlign w:val="center"/>
          </w:tcPr>
          <w:p w14:paraId="50A109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1225" w:type="dxa"/>
            <w:noWrap w:val="0"/>
            <w:vAlign w:val="center"/>
          </w:tcPr>
          <w:p w14:paraId="0E968E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片区数</w:t>
            </w:r>
          </w:p>
        </w:tc>
        <w:tc>
          <w:tcPr>
            <w:tcW w:w="3825" w:type="dxa"/>
            <w:noWrap w:val="0"/>
            <w:vAlign w:val="center"/>
          </w:tcPr>
          <w:p w14:paraId="6D11E1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划分区域</w:t>
            </w:r>
          </w:p>
        </w:tc>
        <w:tc>
          <w:tcPr>
            <w:tcW w:w="1035" w:type="dxa"/>
            <w:noWrap w:val="0"/>
            <w:vAlign w:val="center"/>
          </w:tcPr>
          <w:p w14:paraId="7691CA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面积（km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）</w:t>
            </w:r>
          </w:p>
        </w:tc>
        <w:tc>
          <w:tcPr>
            <w:tcW w:w="1050" w:type="dxa"/>
            <w:noWrap w:val="0"/>
            <w:vAlign w:val="center"/>
          </w:tcPr>
          <w:p w14:paraId="48C54B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片区数</w:t>
            </w:r>
          </w:p>
        </w:tc>
        <w:tc>
          <w:tcPr>
            <w:tcW w:w="4776" w:type="dxa"/>
            <w:noWrap w:val="0"/>
            <w:vAlign w:val="center"/>
          </w:tcPr>
          <w:p w14:paraId="43FA08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划分区域</w:t>
            </w:r>
          </w:p>
        </w:tc>
        <w:tc>
          <w:tcPr>
            <w:tcW w:w="1259" w:type="dxa"/>
            <w:noWrap w:val="0"/>
            <w:vAlign w:val="center"/>
          </w:tcPr>
          <w:p w14:paraId="587894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面积（km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）</w:t>
            </w:r>
          </w:p>
        </w:tc>
      </w:tr>
      <w:tr w14:paraId="4EB92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3" w:hRule="atLeast"/>
          <w:jc w:val="center"/>
        </w:trPr>
        <w:tc>
          <w:tcPr>
            <w:tcW w:w="1229" w:type="dxa"/>
            <w:noWrap w:val="0"/>
            <w:vAlign w:val="center"/>
          </w:tcPr>
          <w:p w14:paraId="48CC2A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225" w:type="dxa"/>
            <w:noWrap w:val="0"/>
            <w:vAlign w:val="center"/>
          </w:tcPr>
          <w:p w14:paraId="1541E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3825" w:type="dxa"/>
            <w:noWrap w:val="0"/>
            <w:vAlign w:val="center"/>
          </w:tcPr>
          <w:p w14:paraId="41279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鸡东镇规划区的北部、西部和中部</w:t>
            </w:r>
          </w:p>
        </w:tc>
        <w:tc>
          <w:tcPr>
            <w:tcW w:w="1035" w:type="dxa"/>
            <w:noWrap w:val="0"/>
            <w:vAlign w:val="center"/>
          </w:tcPr>
          <w:p w14:paraId="0194D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3.84</w:t>
            </w:r>
          </w:p>
        </w:tc>
        <w:tc>
          <w:tcPr>
            <w:tcW w:w="1050" w:type="dxa"/>
            <w:noWrap w:val="0"/>
            <w:vAlign w:val="center"/>
          </w:tcPr>
          <w:p w14:paraId="7B5294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4776" w:type="dxa"/>
            <w:noWrap w:val="0"/>
            <w:vAlign w:val="center"/>
          </w:tcPr>
          <w:p w14:paraId="6027E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1-1：果园路-解放路-银丰大街-新峰路南段北华大街-鸡古路以北至中心城区规划范围边界合围区域；1-2：鸡东县南外环路-南华大街-鸡密支线合围区域；1-3：鸡东县南外环路-福圆驾校道口路以西至中心城区规划范围边界合围区域。</w:t>
            </w:r>
          </w:p>
        </w:tc>
        <w:tc>
          <w:tcPr>
            <w:tcW w:w="1259" w:type="dxa"/>
            <w:noWrap w:val="0"/>
            <w:vAlign w:val="center"/>
          </w:tcPr>
          <w:p w14:paraId="0389A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6.0407</w:t>
            </w:r>
          </w:p>
        </w:tc>
      </w:tr>
      <w:tr w14:paraId="2BB7C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1229" w:type="dxa"/>
            <w:noWrap w:val="0"/>
            <w:vAlign w:val="center"/>
          </w:tcPr>
          <w:p w14:paraId="587F3A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1225" w:type="dxa"/>
            <w:noWrap w:val="0"/>
            <w:vAlign w:val="center"/>
          </w:tcPr>
          <w:p w14:paraId="3EC8EF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3825" w:type="dxa"/>
            <w:noWrap w:val="0"/>
            <w:vAlign w:val="center"/>
          </w:tcPr>
          <w:p w14:paraId="5E2B89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侧振兴大街、德胜东路、规划一街、鸡古公路合围地块和规划十五路、密南路、中心北街、规划九街的合围地块。</w:t>
            </w:r>
          </w:p>
        </w:tc>
        <w:tc>
          <w:tcPr>
            <w:tcW w:w="1035" w:type="dxa"/>
            <w:noWrap w:val="0"/>
            <w:vAlign w:val="center"/>
          </w:tcPr>
          <w:p w14:paraId="36DBD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2.45</w:t>
            </w:r>
          </w:p>
        </w:tc>
        <w:tc>
          <w:tcPr>
            <w:tcW w:w="1050" w:type="dxa"/>
            <w:noWrap w:val="0"/>
            <w:vAlign w:val="center"/>
          </w:tcPr>
          <w:p w14:paraId="21C13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4776" w:type="dxa"/>
            <w:noWrap w:val="0"/>
            <w:vAlign w:val="center"/>
          </w:tcPr>
          <w:p w14:paraId="172B3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鸡东县南外环路-果园路-解放路-银峰大街-城建路-鸡密支线合围区域；2-2：城建路-新峰路南段-北华大街-新医圣路-兴东路-南华大街合围区域</w:t>
            </w:r>
          </w:p>
        </w:tc>
        <w:tc>
          <w:tcPr>
            <w:tcW w:w="1259" w:type="dxa"/>
            <w:noWrap w:val="0"/>
            <w:vAlign w:val="center"/>
          </w:tcPr>
          <w:p w14:paraId="5ACE06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2.7443</w:t>
            </w:r>
          </w:p>
        </w:tc>
      </w:tr>
      <w:tr w14:paraId="5132C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229" w:type="dxa"/>
            <w:noWrap w:val="0"/>
            <w:vAlign w:val="center"/>
          </w:tcPr>
          <w:p w14:paraId="4705E3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1225" w:type="dxa"/>
            <w:noWrap w:val="0"/>
            <w:vAlign w:val="center"/>
          </w:tcPr>
          <w:p w14:paraId="37F298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3825" w:type="dxa"/>
            <w:noWrap w:val="0"/>
            <w:vAlign w:val="center"/>
          </w:tcPr>
          <w:p w14:paraId="1835B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北华大街（解放路-鸡古公路段）南北两侧、中心北街（迎春路-鸡古公路段）东西两侧、规划四街东西两侧。</w:t>
            </w:r>
          </w:p>
        </w:tc>
        <w:tc>
          <w:tcPr>
            <w:tcW w:w="1035" w:type="dxa"/>
            <w:noWrap w:val="0"/>
            <w:vAlign w:val="center"/>
          </w:tcPr>
          <w:p w14:paraId="17806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2.33</w:t>
            </w:r>
          </w:p>
        </w:tc>
        <w:tc>
          <w:tcPr>
            <w:tcW w:w="1050" w:type="dxa"/>
            <w:noWrap w:val="0"/>
            <w:vAlign w:val="center"/>
          </w:tcPr>
          <w:p w14:paraId="5914F4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776" w:type="dxa"/>
            <w:noWrap w:val="0"/>
            <w:vAlign w:val="center"/>
          </w:tcPr>
          <w:p w14:paraId="122DB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鸡东县南外环路-福圆驾校道口路以南至中心城区规划范围边界合围区域；3-2：鸡东县南外环路-南华大街-兴东路-新医圣路-鸡古线以东至中心城区规划范围边界合围区域</w:t>
            </w:r>
          </w:p>
        </w:tc>
        <w:tc>
          <w:tcPr>
            <w:tcW w:w="1259" w:type="dxa"/>
            <w:noWrap w:val="0"/>
            <w:vAlign w:val="center"/>
          </w:tcPr>
          <w:p w14:paraId="6490A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3.6572</w:t>
            </w:r>
          </w:p>
        </w:tc>
      </w:tr>
      <w:tr w14:paraId="3E18E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229" w:type="dxa"/>
            <w:noWrap w:val="0"/>
            <w:vAlign w:val="center"/>
          </w:tcPr>
          <w:p w14:paraId="5B8351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5050" w:type="dxa"/>
            <w:gridSpan w:val="2"/>
            <w:noWrap w:val="0"/>
            <w:vAlign w:val="center"/>
          </w:tcPr>
          <w:p w14:paraId="7024F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涉及21条公路铁路和一个铁路场站</w:t>
            </w:r>
          </w:p>
        </w:tc>
        <w:tc>
          <w:tcPr>
            <w:tcW w:w="1035" w:type="dxa"/>
            <w:noWrap w:val="0"/>
            <w:vAlign w:val="center"/>
          </w:tcPr>
          <w:p w14:paraId="5871B3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4.15</w:t>
            </w:r>
          </w:p>
        </w:tc>
        <w:tc>
          <w:tcPr>
            <w:tcW w:w="5826" w:type="dxa"/>
            <w:gridSpan w:val="2"/>
            <w:noWrap w:val="0"/>
            <w:vAlign w:val="center"/>
          </w:tcPr>
          <w:p w14:paraId="73F13C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涉及2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条公路和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2条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铁路</w:t>
            </w:r>
          </w:p>
        </w:tc>
        <w:tc>
          <w:tcPr>
            <w:tcW w:w="1259" w:type="dxa"/>
            <w:noWrap w:val="0"/>
            <w:vAlign w:val="center"/>
          </w:tcPr>
          <w:p w14:paraId="561BF8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0.5421</w:t>
            </w:r>
          </w:p>
        </w:tc>
      </w:tr>
      <w:tr w14:paraId="2E8E8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1229" w:type="dxa"/>
            <w:noWrap w:val="0"/>
            <w:vAlign w:val="center"/>
          </w:tcPr>
          <w:p w14:paraId="6160E7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总面积（km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）</w:t>
            </w:r>
          </w:p>
        </w:tc>
        <w:tc>
          <w:tcPr>
            <w:tcW w:w="6085" w:type="dxa"/>
            <w:gridSpan w:val="3"/>
            <w:noWrap w:val="0"/>
            <w:vAlign w:val="center"/>
          </w:tcPr>
          <w:p w14:paraId="503167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  <w:lang w:val="en-US" w:eastAsia="zh-CN"/>
              </w:rPr>
              <w:t>12.77</w:t>
            </w:r>
          </w:p>
        </w:tc>
        <w:tc>
          <w:tcPr>
            <w:tcW w:w="7085" w:type="dxa"/>
            <w:gridSpan w:val="3"/>
            <w:noWrap w:val="0"/>
            <w:vAlign w:val="center"/>
          </w:tcPr>
          <w:p w14:paraId="35D2F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2312" w:cs="Times New Roman"/>
                <w:sz w:val="24"/>
                <w:szCs w:val="24"/>
                <w:vertAlign w:val="baseline"/>
              </w:rPr>
              <w:t>12.9843</w:t>
            </w:r>
          </w:p>
        </w:tc>
      </w:tr>
    </w:tbl>
    <w:p w14:paraId="365EC2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pacing w:val="0"/>
          <w:kern w:val="21"/>
          <w:position w:val="0"/>
          <w:sz w:val="24"/>
          <w:szCs w:val="24"/>
          <w:highlight w:val="none"/>
          <w:lang w:val="en-US" w:eastAsia="zh-CN" w:bidi="ar-SA"/>
        </w:rPr>
      </w:pPr>
    </w:p>
    <w:p w14:paraId="4FE397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pacing w:val="0"/>
          <w:kern w:val="21"/>
          <w:position w:val="0"/>
          <w:sz w:val="24"/>
          <w:szCs w:val="24"/>
          <w:highlight w:val="none"/>
          <w:lang w:val="en-US" w:eastAsia="zh-CN" w:bidi="ar-SA"/>
        </w:rPr>
        <w:sectPr>
          <w:pgSz w:w="16838" w:h="11906" w:orient="landscape"/>
          <w:pgMar w:top="1180" w:right="1440" w:bottom="1800" w:left="1440" w:header="851" w:footer="992" w:gutter="0"/>
          <w:cols w:space="425" w:num="1"/>
          <w:docGrid w:type="lines" w:linePitch="312" w:charSpace="0"/>
        </w:sectPr>
      </w:pPr>
    </w:p>
    <w:p w14:paraId="3147B4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黑体" w:cs="Times New Roman"/>
          <w:sz w:val="32"/>
          <w:szCs w:val="32"/>
        </w:rPr>
        <w:t>、区域管理与区域调整措施</w:t>
      </w:r>
    </w:p>
    <w:p w14:paraId="1B6E99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（一）1 类区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禁止新建、扩建工业企业、大型娱乐场所、高噪声商业设施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现有噪声源需采取隔声、减振、消声措施，确保边界噪声符合 1 类标准；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 类区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限制新建高噪声工业项目，确需建设的需开展噪声影响评价并配套防治设施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商业场所夜间（22:00-6:00）禁止使用高音喇叭、露天音响促销，餐饮油烟净化器、空调外机等设备需采取降噪措施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建筑施工需办理夜间施工许可，且禁止使用打桩机、破碎机等强噪声设备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 类区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工业企业需在厂界设置隔声围墙或绿化隔离带（宽度≥20m），风机、水泵等设备需安装消声器；物流园区夜间限制重型货车进出，车辆装卸货物需采取减振、隔声措施；定期开展工业噪声监测，超标企业需限期整改，整改不到位的依法责令停产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 类区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交通部门在主干路设置限速标志（昼间≤60km/h、夜间≤50km/h）、禁鸣标志；铁路部门优化列车运行调度，减少夜间鸣笛频次。</w:t>
      </w:r>
    </w:p>
    <w:p w14:paraId="76CC2A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440" w:right="1800" w:bottom="1440" w:left="1180" w:header="851" w:footer="992" w:gutter="0"/>
          <w:cols w:space="425" w:num="1"/>
          <w:docGrid w:type="lines" w:linePitch="312" w:charSpace="0"/>
        </w:sectPr>
      </w:pPr>
    </w:p>
    <w:p w14:paraId="115D32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十</w:t>
      </w:r>
      <w:r>
        <w:rPr>
          <w:rFonts w:hint="default" w:ascii="Times New Roman" w:hAnsi="Times New Roman" w:eastAsia="黑体" w:cs="Times New Roman"/>
          <w:sz w:val="32"/>
          <w:szCs w:val="32"/>
        </w:rPr>
        <w:t>、保障措施</w:t>
      </w:r>
    </w:p>
    <w:p w14:paraId="4D0EBA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（一）加强领导，落实责任。</w:t>
      </w:r>
    </w:p>
    <w:p w14:paraId="062BD3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次声环境功能区划分是改善中心城区声环境质量、保障居民生活舒适的重要依据，关系区域人居品质与城镇绿色发展。各乡镇、街道要按属地管理原则，严格执行功能区划分要求，配合做好辖区内噪声源规范整治工作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鸡东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生态环境局等相关部门，在规划编制、项目立项审查时，需依据本方案明确的声环境功能区要求，严格落实审批程序。</w:t>
      </w:r>
    </w:p>
    <w:p w14:paraId="7B3AF4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（二）强化执法，严格监管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6413E7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开展日常巡查与季度专项检查，重点盯防 1 类区、4 类区噪声问题；在交通干线重点路段安装鸣笛抓拍设备，及时查处违法行为。</w:t>
      </w:r>
    </w:p>
    <w:p w14:paraId="26F121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（三）宣传引导，全民共治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573974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通过县政府官网、社区公告栏、宣传手册等渠道，普及声环境功能区知识；每年开展 “噪声防治宣传周” 活动，鼓励公众举报噪声违法，形成共治氛围。</w:t>
      </w:r>
    </w:p>
    <w:p w14:paraId="6EDBD3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附图1 鸡东县城区声功能区图</w:t>
      </w:r>
    </w:p>
    <w:p w14:paraId="7AF63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23811" w:h="16838" w:orient="landscape"/>
          <w:pgMar w:top="1800" w:right="1440" w:bottom="1178" w:left="144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11704955" cy="8279765"/>
            <wp:effectExtent l="0" t="0" r="10795" b="6985"/>
            <wp:docPr id="1" name="图片 1" descr="附图5：鸡东县城区声功能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5：鸡东县城区声功能区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0495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CF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附图2 现行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鸡东县城区声功能区图</w:t>
      </w:r>
    </w:p>
    <w:p w14:paraId="447AEA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12256135" cy="8303260"/>
            <wp:effectExtent l="0" t="0" r="12065" b="2540"/>
            <wp:docPr id="2" name="图片 2" descr="附图1：2019年鸡东声功能区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图1：2019年鸡东声功能区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56135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800" w:right="1440" w:bottom="117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7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8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D55622"/>
    <w:multiLevelType w:val="multilevel"/>
    <w:tmpl w:val="69D55622"/>
    <w:lvl w:ilvl="0" w:tentative="0">
      <w:start w:val="1"/>
      <w:numFmt w:val="decimal"/>
      <w:suff w:val="space"/>
      <w:lvlText w:val="第%1章"/>
      <w:lvlJc w:val="left"/>
      <w:pPr>
        <w:ind w:left="4826" w:hanging="432"/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color w:val="auto"/>
        <w:sz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ind w:left="710" w:firstLine="0"/>
      </w:pPr>
    </w:lvl>
    <w:lvl w:ilvl="3" w:tentative="0">
      <w:start w:val="1"/>
      <w:numFmt w:val="decimal"/>
      <w:pStyle w:val="2"/>
      <w:suff w:val="space"/>
      <w:lvlText w:val="%1.%2.%3.%4"/>
      <w:lvlJc w:val="left"/>
      <w:pPr>
        <w:ind w:left="864" w:hanging="864"/>
      </w:pPr>
      <w:rPr>
        <w:rFonts w:hint="default" w:ascii="Times New Roman" w:hAnsi="Times New Roman" w:eastAsia="黑体"/>
        <w:b w:val="0"/>
        <w:i w:val="0"/>
        <w:sz w:val="28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E4480"/>
    <w:rsid w:val="1B534BB7"/>
    <w:rsid w:val="2B027582"/>
    <w:rsid w:val="54B04A84"/>
    <w:rsid w:val="6ADE4480"/>
    <w:rsid w:val="6BB9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2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0"/>
      </w:tabs>
      <w:spacing w:beforeLines="50" w:afterLines="50" w:line="550" w:lineRule="exact"/>
      <w:ind w:firstLine="0" w:firstLineChars="0"/>
      <w:outlineLvl w:val="3"/>
    </w:pPr>
    <w:rPr>
      <w:rFonts w:ascii="Calibri" w:hAnsi="Calibri" w:eastAsia="黑体" w:cs="Times New Roman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4759</Words>
  <Characters>5308</Characters>
  <Lines>0</Lines>
  <Paragraphs>0</Paragraphs>
  <TotalTime>0</TotalTime>
  <ScaleCrop>false</ScaleCrop>
  <LinksUpToDate>false</LinksUpToDate>
  <CharactersWithSpaces>5384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2025-12-06T15:02:00Z</dcterms:created>
  <dc:creator>Fairy.</dc:creator>
  <cp:lastModifiedBy>泰迪犬(小黑鬼)</cp:lastModifiedBy>
  <dcterms:modified xsi:type="dcterms:W3CDTF">2026-01-13T01:23:10Z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7D99198B14CE42F18D14754EFE1B8604_13</vt:lpwstr>
  </property>
  <property fmtid="{D5CDD505-2E9C-101B-9397-08002B2CF9AE}" pid="4" name="KSOTemplateDocerSaveRecord">
    <vt:lpwstr>eyJoZGlkIjoiNmI0OWVhMzA4ZWQ2NTk2ZTRlMWNlZjdkM2E5ZWMxZWYiLCJ1c2VySWQiOiIyOTQxNjY5MTQifQ==</vt:lpwstr>
  </property>
</Properties>
</file>