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rPr>
          <w:rFonts w:hint="eastAsia" w:ascii="黑体" w:hAnsi="黑体" w:eastAsia="黑体" w:cs="黑体"/>
          <w:b w:val="0"/>
          <w:bCs w:val="0"/>
          <w:snapToGrid w:val="0"/>
          <w:color w:val="000000"/>
          <w:spacing w:val="-15"/>
          <w:kern w:val="0"/>
          <w:sz w:val="44"/>
          <w:szCs w:val="44"/>
          <w:lang w:val="en-US" w:eastAsia="zh-CN" w:bidi="ar-SA"/>
          <w14:ligatures w14:val="none"/>
        </w:rPr>
      </w:pPr>
      <w:r>
        <w:rPr>
          <w:rFonts w:hint="eastAsia" w:ascii="黑体" w:hAnsi="黑体" w:eastAsia="黑体" w:cs="黑体"/>
          <w:b w:val="0"/>
          <w:bCs w:val="0"/>
          <w:snapToGrid w:val="0"/>
          <w:color w:val="000000"/>
          <w:spacing w:val="-15"/>
          <w:kern w:val="0"/>
          <w:sz w:val="44"/>
          <w:szCs w:val="44"/>
          <w:lang w:val="en-US" w:eastAsia="zh-CN" w:bidi="ar-SA"/>
          <w14:ligatures w14:val="none"/>
        </w:rPr>
        <w:t>鸡东县2026 年生猪调出大县奖励</w:t>
      </w:r>
    </w:p>
    <w:p>
      <w:pPr>
        <w:pStyle w:val="16"/>
        <w:rPr>
          <w:rFonts w:hint="eastAsia" w:ascii="宋体" w:hAnsi="宋体" w:eastAsia="宋体" w:cs="宋体"/>
          <w:b w:val="0"/>
          <w:bCs w:val="0"/>
          <w:snapToGrid w:val="0"/>
          <w:color w:val="000000"/>
          <w:spacing w:val="-15"/>
          <w:kern w:val="0"/>
          <w:sz w:val="44"/>
          <w:szCs w:val="44"/>
          <w:lang w:val="en-US" w:eastAsia="zh-CN" w:bidi="ar-SA"/>
          <w14:ligatures w14:val="none"/>
        </w:rPr>
      </w:pPr>
      <w:r>
        <w:rPr>
          <w:rFonts w:hint="eastAsia" w:ascii="黑体" w:hAnsi="黑体" w:eastAsia="黑体" w:cs="黑体"/>
          <w:b w:val="0"/>
          <w:bCs w:val="0"/>
          <w:snapToGrid w:val="0"/>
          <w:color w:val="000000"/>
          <w:spacing w:val="-15"/>
          <w:kern w:val="0"/>
          <w:sz w:val="44"/>
          <w:szCs w:val="44"/>
          <w:lang w:val="en-US" w:eastAsia="zh-CN" w:bidi="ar-SA"/>
          <w14:ligatures w14:val="none"/>
        </w:rPr>
        <w:t>（省级统筹）资金项目实施方案</w:t>
      </w:r>
      <w:r>
        <w:rPr>
          <w:rFonts w:hint="eastAsia" w:ascii="宋体" w:hAnsi="宋体" w:eastAsia="宋体" w:cs="宋体"/>
          <w:b w:val="0"/>
          <w:bCs w:val="0"/>
          <w:snapToGrid w:val="0"/>
          <w:color w:val="000000"/>
          <w:spacing w:val="-15"/>
          <w:kern w:val="0"/>
          <w:sz w:val="44"/>
          <w:szCs w:val="44"/>
          <w:lang w:val="en-US" w:eastAsia="zh-CN" w:bidi="ar-SA"/>
          <w14:ligatures w14:val="none"/>
        </w:rPr>
        <w:t>​</w:t>
      </w:r>
    </w:p>
    <w:p>
      <w:pPr>
        <w:rPr>
          <w:rFonts w:hint="default" w:ascii="仿宋" w:hAnsi="仿宋" w:eastAsia="仿宋" w:cs="仿宋"/>
          <w:b/>
          <w:bCs/>
          <w:snapToGrid/>
          <w:color w:val="000000"/>
          <w:kern w:val="2"/>
          <w:sz w:val="32"/>
          <w:szCs w:val="32"/>
          <w:lang w:val="en-US" w:eastAsia="zh-CN"/>
          <w14:ligatures w14:val="none"/>
        </w:rPr>
      </w:pPr>
      <w:r>
        <w:rPr>
          <w:rFonts w:hint="eastAsia" w:ascii="宋体" w:hAnsi="宋体" w:eastAsia="宋体" w:cs="宋体"/>
          <w:b w:val="0"/>
          <w:bCs w:val="0"/>
          <w:snapToGrid w:val="0"/>
          <w:color w:val="000000"/>
          <w:spacing w:val="-15"/>
          <w:kern w:val="0"/>
          <w:sz w:val="44"/>
          <w:szCs w:val="44"/>
          <w:lang w:val="en-US" w:eastAsia="zh-CN" w:bidi="ar-SA"/>
          <w14:ligatures w14:val="none"/>
        </w:rPr>
        <w:t xml:space="preserve">                </w:t>
      </w:r>
      <w:r>
        <w:rPr>
          <w:rFonts w:hint="eastAsia" w:ascii="仿宋" w:hAnsi="仿宋" w:eastAsia="仿宋" w:cs="仿宋"/>
          <w:b/>
          <w:bCs/>
          <w:snapToGrid/>
          <w:color w:val="000000"/>
          <w:kern w:val="2"/>
          <w:sz w:val="32"/>
          <w:szCs w:val="32"/>
          <w:lang w:val="en-US" w:eastAsia="zh-CN"/>
          <w14:ligatures w14:val="none"/>
        </w:rPr>
        <w:t>（征求意见稿）</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560" w:lineRule="exact"/>
        <w:ind w:right="0" w:firstLine="640" w:firstLineChars="200"/>
        <w:jc w:val="both"/>
        <w:textAlignment w:val="baseline"/>
        <w:outlineLvl w:val="9"/>
        <w:rPr>
          <w:rFonts w:hint="eastAsia" w:ascii="仿宋" w:hAnsi="仿宋" w:eastAsia="仿宋" w:cs="仿宋"/>
          <w:snapToGrid/>
          <w:color w:val="000000"/>
          <w:kern w:val="2"/>
          <w:sz w:val="32"/>
          <w:szCs w:val="32"/>
          <w:lang w:val="en-US" w:eastAsia="zh-CN"/>
          <w14:ligatures w14:val="none"/>
        </w:rPr>
      </w:pPr>
      <w:r>
        <w:rPr>
          <w:rFonts w:hint="eastAsia" w:ascii="仿宋" w:hAnsi="仿宋" w:eastAsia="仿宋" w:cs="仿宋"/>
          <w:snapToGrid/>
          <w:color w:val="000000"/>
          <w:kern w:val="2"/>
          <w:sz w:val="32"/>
          <w:szCs w:val="32"/>
          <w:lang w:val="en-US" w:eastAsia="zh-CN"/>
          <w14:ligatures w14:val="none"/>
        </w:rPr>
        <w:t>为切实发挥生猪调出大县奖励资金的激励作用，助推全省生猪产业绿色可持续发展，根据《黑龙江省 2026年生猪调出大县奖励(省级统筹)资金项目</w:t>
      </w:r>
      <w:bookmarkStart w:id="0" w:name="_GoBack"/>
      <w:bookmarkEnd w:id="0"/>
      <w:r>
        <w:rPr>
          <w:rFonts w:hint="eastAsia" w:ascii="仿宋" w:hAnsi="仿宋" w:eastAsia="仿宋" w:cs="仿宋"/>
          <w:snapToGrid/>
          <w:color w:val="000000"/>
          <w:kern w:val="2"/>
          <w:sz w:val="32"/>
          <w:szCs w:val="32"/>
          <w:lang w:val="en-US" w:eastAsia="zh-CN"/>
          <w14:ligatures w14:val="none"/>
        </w:rPr>
        <w:t>实施方案》的通知要求，结合我县生猪产业发展需要，制定本方案。</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560" w:lineRule="exact"/>
        <w:ind w:right="0" w:firstLine="564" w:firstLineChars="200"/>
        <w:jc w:val="both"/>
        <w:textAlignment w:val="baseline"/>
        <w:outlineLvl w:val="9"/>
        <w:rPr>
          <w:rFonts w:hint="eastAsia" w:ascii="黑体" w:hAnsi="黑体" w:eastAsia="黑体" w:cs="黑体"/>
          <w:b w:val="0"/>
          <w:bCs w:val="0"/>
          <w:snapToGrid w:val="0"/>
          <w:color w:val="000000"/>
          <w:spacing w:val="-19"/>
          <w:kern w:val="0"/>
          <w:sz w:val="32"/>
          <w:szCs w:val="32"/>
          <w14:ligatures w14:val="none"/>
        </w:rPr>
      </w:pPr>
      <w:r>
        <w:rPr>
          <w:rFonts w:hint="eastAsia" w:ascii="黑体" w:hAnsi="黑体" w:eastAsia="黑体" w:cs="黑体"/>
          <w:b w:val="0"/>
          <w:bCs w:val="0"/>
          <w:snapToGrid w:val="0"/>
          <w:color w:val="000000"/>
          <w:spacing w:val="-19"/>
          <w:kern w:val="0"/>
          <w:sz w:val="32"/>
          <w:szCs w:val="32"/>
          <w14:ligatures w14:val="none"/>
        </w:rPr>
        <w:t>一</w:t>
      </w:r>
      <w:r>
        <w:rPr>
          <w:rFonts w:hint="eastAsia" w:ascii="黑体" w:hAnsi="黑体" w:eastAsia="黑体" w:cs="黑体"/>
          <w:b w:val="0"/>
          <w:bCs w:val="0"/>
          <w:snapToGrid w:val="0"/>
          <w:color w:val="000000"/>
          <w:spacing w:val="-19"/>
          <w:kern w:val="0"/>
          <w:sz w:val="32"/>
          <w:szCs w:val="32"/>
          <w:lang w:eastAsia="zh-CN"/>
          <w14:ligatures w14:val="none"/>
        </w:rPr>
        <w:t>、</w:t>
      </w:r>
      <w:r>
        <w:rPr>
          <w:rFonts w:hint="eastAsia" w:ascii="黑体" w:hAnsi="黑体" w:eastAsia="黑体" w:cs="黑体"/>
          <w:b w:val="0"/>
          <w:bCs w:val="0"/>
          <w:snapToGrid w:val="0"/>
          <w:color w:val="000000"/>
          <w:spacing w:val="-19"/>
          <w:kern w:val="0"/>
          <w:sz w:val="32"/>
          <w:szCs w:val="32"/>
          <w14:ligatures w14:val="none"/>
        </w:rPr>
        <w:t>任务目标​</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9"/>
        <w:rPr>
          <w:rFonts w:hint="eastAsia" w:ascii="仿宋" w:hAnsi="仿宋" w:eastAsia="仿宋" w:cs="仿宋"/>
          <w:snapToGrid/>
          <w:color w:val="000000"/>
          <w:kern w:val="2"/>
          <w:sz w:val="32"/>
          <w:szCs w:val="32"/>
          <w:lang w:val="en-US" w:eastAsia="zh-CN" w:bidi="ar-SA"/>
          <w14:ligatures w14:val="none"/>
        </w:rPr>
      </w:pPr>
      <w:r>
        <w:rPr>
          <w:rFonts w:hint="eastAsia" w:ascii="仿宋" w:hAnsi="仿宋" w:eastAsia="仿宋" w:cs="仿宋"/>
          <w:snapToGrid/>
          <w:color w:val="000000"/>
          <w:kern w:val="2"/>
          <w:sz w:val="32"/>
          <w:szCs w:val="32"/>
          <w:lang w:val="en-US" w:eastAsia="zh-CN" w:bidi="ar-SA"/>
          <w14:ligatures w14:val="none"/>
        </w:rPr>
        <w:t>以提升生猪养殖粪污资源化综合利用水平为目标，以液体粪污贮存设施改造升级为重点，支持规模以下生猪养殖主体购置安装液体粪污暂存设备，探索完善生猪粪污资源化利用和种养循环结合机制，为加快推进农业绿色发展和打赢农业农村污染治理攻坚战提供有力支撑。​</w:t>
      </w:r>
    </w:p>
    <w:p>
      <w:pPr>
        <w:keepNext w:val="0"/>
        <w:keepLines w:val="0"/>
        <w:pageBreakBefore w:val="0"/>
        <w:widowControl w:val="0"/>
        <w:kinsoku/>
        <w:wordWrap/>
        <w:overflowPunct/>
        <w:topLinePunct w:val="0"/>
        <w:autoSpaceDE/>
        <w:autoSpaceDN/>
        <w:bidi w:val="0"/>
        <w:adjustRightInd/>
        <w:snapToGrid/>
        <w:spacing w:after="0" w:line="560" w:lineRule="exact"/>
        <w:ind w:firstLine="564" w:firstLineChars="200"/>
        <w:jc w:val="both"/>
        <w:textAlignment w:val="auto"/>
        <w:outlineLvl w:val="9"/>
        <w:rPr>
          <w:rFonts w:hint="eastAsia"/>
          <w:b w:val="0"/>
          <w:bCs w:val="0"/>
          <w:sz w:val="32"/>
          <w:szCs w:val="32"/>
        </w:rPr>
      </w:pPr>
      <w:r>
        <w:rPr>
          <w:rFonts w:hint="eastAsia" w:ascii="黑体" w:hAnsi="黑体" w:eastAsia="黑体" w:cs="黑体"/>
          <w:b w:val="0"/>
          <w:bCs w:val="0"/>
          <w:snapToGrid w:val="0"/>
          <w:color w:val="000000"/>
          <w:spacing w:val="-19"/>
          <w:kern w:val="0"/>
          <w:sz w:val="32"/>
          <w:szCs w:val="32"/>
          <w14:ligatures w14:val="none"/>
        </w:rPr>
        <w:t>二、实施内容​</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9"/>
        <w:rPr>
          <w:rFonts w:hint="eastAsia" w:ascii="Times New Roman" w:hAnsi="Times New Roman" w:eastAsia="仿宋_GB2312" w:cs="Times New Roman"/>
          <w:snapToGrid/>
          <w:color w:val="000000"/>
          <w:kern w:val="2"/>
          <w:sz w:val="32"/>
          <w:szCs w:val="32"/>
          <w:lang w:val="en-US" w:eastAsia="zh-CN" w:bidi="ar-SA"/>
          <w14:ligatures w14:val="none"/>
        </w:rPr>
      </w:pPr>
      <w:r>
        <w:rPr>
          <w:rFonts w:hint="eastAsia" w:ascii="楷体" w:hAnsi="楷体" w:eastAsia="楷体" w:cs="楷体"/>
          <w:snapToGrid/>
          <w:color w:val="000000"/>
          <w:kern w:val="2"/>
          <w:sz w:val="32"/>
          <w:szCs w:val="32"/>
          <w:lang w:val="en-US" w:eastAsia="zh-CN" w:bidi="ar-SA"/>
          <w14:ligatures w14:val="none"/>
        </w:rPr>
        <w:t>（一）实施范围</w:t>
      </w:r>
      <w:r>
        <w:rPr>
          <w:rFonts w:hint="eastAsia" w:ascii="Times New Roman" w:hAnsi="Times New Roman" w:eastAsia="仿宋_GB2312" w:cs="Times New Roman"/>
          <w:snapToGrid/>
          <w:color w:val="000000"/>
          <w:kern w:val="2"/>
          <w:sz w:val="32"/>
          <w:szCs w:val="32"/>
          <w:lang w:val="en-US" w:eastAsia="zh-CN" w:bidi="ar-SA"/>
          <w14:ligatures w14:val="none"/>
        </w:rPr>
        <w:t>​</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9"/>
        <w:rPr>
          <w:rFonts w:hint="eastAsia"/>
          <w:sz w:val="32"/>
          <w:szCs w:val="32"/>
        </w:rPr>
      </w:pPr>
      <w:r>
        <w:rPr>
          <w:rFonts w:hint="eastAsia" w:ascii="仿宋" w:hAnsi="仿宋" w:eastAsia="仿宋" w:cs="仿宋"/>
          <w:snapToGrid/>
          <w:color w:val="000000"/>
          <w:kern w:val="2"/>
          <w:sz w:val="32"/>
          <w:szCs w:val="32"/>
          <w:lang w:val="en-US" w:eastAsia="zh-CN" w:bidi="ar-SA"/>
          <w14:ligatures w14:val="none"/>
        </w:rPr>
        <w:t>鸡东县全域。</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outlineLvl w:val="9"/>
        <w:rPr>
          <w:rFonts w:hint="eastAsia" w:ascii="楷体" w:hAnsi="楷体" w:eastAsia="楷体" w:cs="楷体"/>
          <w:snapToGrid/>
          <w:color w:val="000000"/>
          <w:kern w:val="2"/>
          <w:sz w:val="32"/>
          <w:szCs w:val="32"/>
          <w:lang w:val="en-US" w:eastAsia="zh-CN" w:bidi="ar-SA"/>
          <w14:ligatures w14:val="none"/>
        </w:rPr>
      </w:pPr>
      <w:r>
        <w:rPr>
          <w:rFonts w:hint="eastAsia" w:ascii="楷体" w:hAnsi="楷体" w:eastAsia="楷体" w:cs="楷体"/>
          <w:snapToGrid/>
          <w:color w:val="000000"/>
          <w:kern w:val="2"/>
          <w:sz w:val="32"/>
          <w:szCs w:val="32"/>
          <w:lang w:val="en-US" w:eastAsia="zh-CN" w:bidi="ar-SA"/>
          <w14:ligatures w14:val="none"/>
        </w:rPr>
        <w:t>（二）支持内容</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napToGrid/>
          <w:color w:val="000000"/>
          <w:kern w:val="2"/>
          <w:sz w:val="32"/>
          <w:szCs w:val="32"/>
          <w:lang w:val="en-US" w:eastAsia="zh-CN" w:bidi="ar-SA"/>
          <w14:ligatures w14:val="none"/>
        </w:rPr>
        <w:t>支持规模以下生猪养殖主体在2026年1月1日至10月30日期间，购置安装液体粪污暂存设备（改性纤维钢化罐），逐步完善粪污处理配套设施。</w:t>
      </w:r>
    </w:p>
    <w:p>
      <w:pPr>
        <w:keepNext w:val="0"/>
        <w:keepLines w:val="0"/>
        <w:pageBreakBefore w:val="0"/>
        <w:widowControl w:val="0"/>
        <w:kinsoku/>
        <w:wordWrap/>
        <w:overflowPunct/>
        <w:topLinePunct w:val="0"/>
        <w:autoSpaceDE/>
        <w:autoSpaceDN/>
        <w:bidi w:val="0"/>
        <w:adjustRightInd/>
        <w:snapToGrid/>
        <w:spacing w:after="0" w:line="560" w:lineRule="exact"/>
        <w:ind w:firstLine="564" w:firstLineChars="200"/>
        <w:jc w:val="both"/>
        <w:textAlignment w:val="auto"/>
        <w:outlineLvl w:val="9"/>
        <w:rPr>
          <w:rFonts w:hint="eastAsia" w:ascii="黑体" w:hAnsi="黑体" w:eastAsia="黑体" w:cs="黑体"/>
          <w:b w:val="0"/>
          <w:bCs w:val="0"/>
          <w:snapToGrid w:val="0"/>
          <w:color w:val="000000"/>
          <w:spacing w:val="-19"/>
          <w:kern w:val="0"/>
          <w:sz w:val="32"/>
          <w:szCs w:val="32"/>
          <w14:ligatures w14:val="none"/>
        </w:rPr>
      </w:pPr>
      <w:r>
        <w:rPr>
          <w:rFonts w:hint="eastAsia" w:ascii="黑体" w:hAnsi="黑体" w:eastAsia="黑体" w:cs="黑体"/>
          <w:b w:val="0"/>
          <w:bCs w:val="0"/>
          <w:snapToGrid w:val="0"/>
          <w:color w:val="000000"/>
          <w:spacing w:val="-19"/>
          <w:kern w:val="0"/>
          <w:sz w:val="32"/>
          <w:szCs w:val="32"/>
          <w:lang w:val="en-US" w:eastAsia="zh-CN"/>
          <w14:ligatures w14:val="none"/>
        </w:rPr>
        <w:t>三、</w:t>
      </w:r>
      <w:r>
        <w:rPr>
          <w:rFonts w:hint="eastAsia" w:ascii="黑体" w:hAnsi="黑体" w:eastAsia="黑体" w:cs="黑体"/>
          <w:b w:val="0"/>
          <w:bCs w:val="0"/>
          <w:snapToGrid w:val="0"/>
          <w:color w:val="000000"/>
          <w:spacing w:val="-19"/>
          <w:kern w:val="0"/>
          <w:sz w:val="32"/>
          <w:szCs w:val="32"/>
          <w14:ligatures w14:val="none"/>
        </w:rPr>
        <w:t>补助对象、方式及标准​</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9"/>
        <w:rPr>
          <w:rFonts w:hint="eastAsia" w:ascii="Times New Roman" w:hAnsi="Times New Roman" w:eastAsia="仿宋_GB2312" w:cs="Times New Roman"/>
          <w:snapToGrid/>
          <w:color w:val="000000"/>
          <w:kern w:val="2"/>
          <w:sz w:val="32"/>
          <w:szCs w:val="32"/>
          <w:lang w:val="en-US" w:eastAsia="zh-CN" w:bidi="ar-SA"/>
          <w14:ligatures w14:val="none"/>
        </w:rPr>
      </w:pPr>
      <w:r>
        <w:rPr>
          <w:rFonts w:hint="eastAsia" w:ascii="楷体" w:hAnsi="楷体" w:eastAsia="楷体" w:cs="楷体"/>
          <w:snapToGrid/>
          <w:color w:val="000000"/>
          <w:kern w:val="2"/>
          <w:sz w:val="32"/>
          <w:szCs w:val="32"/>
          <w:lang w:val="en-US" w:eastAsia="zh-CN" w:bidi="ar-SA"/>
          <w14:ligatures w14:val="none"/>
        </w:rPr>
        <w:t>（一）补助对象</w:t>
      </w:r>
      <w:r>
        <w:rPr>
          <w:rFonts w:hint="eastAsia" w:ascii="Times New Roman" w:hAnsi="Times New Roman" w:eastAsia="仿宋_GB2312" w:cs="Times New Roman"/>
          <w:snapToGrid/>
          <w:color w:val="000000"/>
          <w:kern w:val="2"/>
          <w:sz w:val="32"/>
          <w:szCs w:val="32"/>
          <w:lang w:val="en-US" w:eastAsia="zh-CN" w:bidi="ar-SA"/>
          <w14:ligatures w14:val="none"/>
        </w:rPr>
        <w:t>​</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napToGrid/>
          <w:color w:val="000000"/>
          <w:kern w:val="2"/>
          <w:sz w:val="32"/>
          <w:szCs w:val="32"/>
          <w:lang w:val="en-US" w:eastAsia="zh-CN" w:bidi="ar-SA"/>
          <w14:ligatures w14:val="none"/>
        </w:rPr>
        <w:t>11个乡镇及8510农场，年出栏 50（含）头以上、500（不含）头以下的生猪养殖主体。</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9"/>
        <w:rPr>
          <w:rFonts w:hint="eastAsia" w:ascii="仿宋" w:hAnsi="仿宋" w:eastAsia="仿宋" w:cs="仿宋"/>
          <w:sz w:val="32"/>
          <w:szCs w:val="32"/>
        </w:rPr>
      </w:pPr>
      <w:r>
        <w:rPr>
          <w:rFonts w:hint="eastAsia" w:ascii="楷体" w:hAnsi="楷体" w:eastAsia="楷体" w:cs="楷体"/>
          <w:snapToGrid/>
          <w:color w:val="000000"/>
          <w:kern w:val="2"/>
          <w:sz w:val="32"/>
          <w:szCs w:val="32"/>
          <w:lang w:val="en-US" w:eastAsia="zh-CN" w:bidi="ar-SA"/>
          <w14:ligatures w14:val="none"/>
        </w:rPr>
        <w:t>（二）补助方式</w:t>
      </w:r>
      <w:r>
        <w:rPr>
          <w:rFonts w:hint="eastAsia" w:ascii="仿宋" w:hAnsi="仿宋" w:eastAsia="仿宋" w:cs="仿宋"/>
          <w:snapToGrid/>
          <w:color w:val="000000"/>
          <w:kern w:val="2"/>
          <w:sz w:val="32"/>
          <w:szCs w:val="32"/>
          <w:lang w:val="en-US" w:eastAsia="zh-CN" w:bidi="ar-SA"/>
          <w14:ligatures w14:val="none"/>
        </w:rPr>
        <w:t>​</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napToGrid/>
          <w:color w:val="000000"/>
          <w:kern w:val="2"/>
          <w:sz w:val="32"/>
          <w:szCs w:val="32"/>
          <w:lang w:val="en-US" w:eastAsia="zh-CN" w:bidi="ar-SA"/>
          <w14:ligatures w14:val="none"/>
        </w:rPr>
        <w:t>采取“先建后补”方式实施，即符合条件的补助对象先行筹集资金开展项目建设，验收合格且公示无异议后，按标准兑现补助资金。​</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9"/>
        <w:rPr>
          <w:rFonts w:hint="eastAsia" w:ascii="仿宋" w:hAnsi="仿宋" w:eastAsia="仿宋" w:cs="仿宋"/>
          <w:snapToGrid/>
          <w:color w:val="000000"/>
          <w:kern w:val="2"/>
          <w:sz w:val="32"/>
          <w:szCs w:val="32"/>
          <w:lang w:val="en-US" w:eastAsia="zh-CN" w:bidi="ar-SA"/>
          <w14:ligatures w14:val="none"/>
        </w:rPr>
      </w:pPr>
      <w:r>
        <w:rPr>
          <w:rFonts w:hint="eastAsia" w:ascii="楷体" w:hAnsi="楷体" w:eastAsia="楷体" w:cs="楷体"/>
          <w:snapToGrid/>
          <w:color w:val="000000"/>
          <w:kern w:val="2"/>
          <w:sz w:val="32"/>
          <w:szCs w:val="32"/>
          <w:lang w:val="en-US" w:eastAsia="zh-CN" w:bidi="ar-SA"/>
          <w14:ligatures w14:val="none"/>
        </w:rPr>
        <w:t>（三）补助标准及技术规格</w:t>
      </w:r>
      <w:r>
        <w:rPr>
          <w:rFonts w:hint="eastAsia" w:ascii="仿宋" w:hAnsi="仿宋" w:eastAsia="仿宋" w:cs="仿宋"/>
          <w:snapToGrid/>
          <w:color w:val="000000"/>
          <w:kern w:val="2"/>
          <w:sz w:val="32"/>
          <w:szCs w:val="32"/>
          <w:lang w:val="en-US" w:eastAsia="zh-CN" w:bidi="ar-SA"/>
          <w14:ligatures w14:val="none"/>
        </w:rPr>
        <w:t>​</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9"/>
        <w:rPr>
          <w:rFonts w:hint="eastAsia" w:ascii="仿宋" w:hAnsi="仿宋" w:eastAsia="仿宋" w:cs="仿宋"/>
          <w:snapToGrid/>
          <w:color w:val="000000"/>
          <w:kern w:val="2"/>
          <w:sz w:val="32"/>
          <w:szCs w:val="32"/>
          <w:lang w:val="en-US" w:eastAsia="zh-CN" w:bidi="ar-SA"/>
          <w14:ligatures w14:val="none"/>
        </w:rPr>
      </w:pPr>
      <w:r>
        <w:rPr>
          <w:rFonts w:hint="eastAsia" w:ascii="仿宋" w:hAnsi="仿宋" w:eastAsia="仿宋" w:cs="仿宋"/>
          <w:snapToGrid/>
          <w:color w:val="000000"/>
          <w:kern w:val="2"/>
          <w:sz w:val="32"/>
          <w:szCs w:val="32"/>
          <w:lang w:val="en-US" w:eastAsia="zh-CN" w:bidi="ar-SA"/>
          <w14:ligatures w14:val="none"/>
        </w:rPr>
        <w:t>1、补助标准：严格按照省级规定执行，不高于总投资额的 50%（包括改性纤维钢化罐购置、运输、安装全过程费用）。其中，罐体容积10立方米的补贴不高于0.5万元，罐体容积30立方米的补贴不高于1.2万元、罐体容积50立方米的补贴不高于2万元、罐体容积70立方米的补贴不高于2.5万元，单个主体补贴上限5万元。</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9"/>
        <w:rPr>
          <w:rFonts w:hint="eastAsia" w:ascii="仿宋" w:hAnsi="仿宋" w:eastAsia="仿宋" w:cs="仿宋"/>
          <w:snapToGrid/>
          <w:color w:val="000000"/>
          <w:kern w:val="2"/>
          <w:sz w:val="32"/>
          <w:szCs w:val="32"/>
          <w:lang w:val="en-US" w:eastAsia="zh-CN" w:bidi="ar-SA"/>
          <w14:ligatures w14:val="none"/>
        </w:rPr>
      </w:pPr>
      <w:r>
        <w:rPr>
          <w:rFonts w:hint="eastAsia" w:ascii="仿宋" w:hAnsi="仿宋" w:eastAsia="仿宋" w:cs="仿宋"/>
          <w:snapToGrid/>
          <w:color w:val="000000"/>
          <w:kern w:val="2"/>
          <w:sz w:val="32"/>
          <w:szCs w:val="32"/>
          <w:lang w:val="en-US" w:eastAsia="zh-CN" w:bidi="ar-SA"/>
          <w14:ligatures w14:val="none"/>
        </w:rPr>
        <w:t>2、技术规格：一是容积10立方米的罐体厚度不低于8毫米、容积30和50立方米的罐体厚度不低于10毫米、容积70立方米的罐体厚度不低于12毫米。二是罐体内钢衬管的直径不低于1.5 寸、钢衬管壁厚度不低于2.3 毫米。使用前钢衬管要做好防腐蚀措施。三是为使液体粪污在钢化罐内分解发酵后还田，鼓励在改性纤维钢化罐内设置1-2个隔断板。罐体掩埋深度要求为罐体上沿距离地面大于2 米。​</w:t>
      </w:r>
    </w:p>
    <w:p>
      <w:pPr>
        <w:keepNext w:val="0"/>
        <w:keepLines w:val="0"/>
        <w:pageBreakBefore w:val="0"/>
        <w:widowControl w:val="0"/>
        <w:kinsoku/>
        <w:wordWrap/>
        <w:overflowPunct/>
        <w:topLinePunct w:val="0"/>
        <w:autoSpaceDE/>
        <w:autoSpaceDN/>
        <w:bidi w:val="0"/>
        <w:adjustRightInd/>
        <w:snapToGrid/>
        <w:spacing w:after="0" w:line="560" w:lineRule="exact"/>
        <w:ind w:firstLine="564" w:firstLineChars="200"/>
        <w:jc w:val="both"/>
        <w:textAlignment w:val="auto"/>
        <w:outlineLvl w:val="9"/>
        <w:rPr>
          <w:rFonts w:hint="eastAsia" w:ascii="黑体" w:hAnsi="黑体" w:eastAsia="黑体" w:cs="黑体"/>
          <w:b w:val="0"/>
          <w:bCs w:val="0"/>
          <w:snapToGrid w:val="0"/>
          <w:color w:val="000000"/>
          <w:spacing w:val="-19"/>
          <w:kern w:val="0"/>
          <w:sz w:val="32"/>
          <w:szCs w:val="32"/>
          <w:lang w:val="en-US" w:eastAsia="zh-CN"/>
          <w14:ligatures w14:val="none"/>
        </w:rPr>
      </w:pPr>
      <w:r>
        <w:rPr>
          <w:rFonts w:hint="eastAsia" w:ascii="黑体" w:hAnsi="黑体" w:eastAsia="黑体" w:cs="黑体"/>
          <w:b w:val="0"/>
          <w:bCs w:val="0"/>
          <w:snapToGrid w:val="0"/>
          <w:color w:val="000000"/>
          <w:spacing w:val="-19"/>
          <w:kern w:val="0"/>
          <w:sz w:val="32"/>
          <w:szCs w:val="32"/>
          <w:lang w:val="en-US" w:eastAsia="zh-CN"/>
          <w14:ligatures w14:val="none"/>
        </w:rPr>
        <w:t>四、实施程序​</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9"/>
        <w:rPr>
          <w:rFonts w:hint="eastAsia" w:ascii="仿宋" w:hAnsi="仿宋" w:eastAsia="仿宋" w:cs="仿宋"/>
          <w:sz w:val="32"/>
          <w:szCs w:val="32"/>
        </w:rPr>
      </w:pPr>
      <w:r>
        <w:rPr>
          <w:rFonts w:hint="eastAsia" w:ascii="楷体" w:hAnsi="楷体" w:eastAsia="楷体" w:cs="楷体"/>
          <w:snapToGrid/>
          <w:color w:val="000000"/>
          <w:kern w:val="2"/>
          <w:sz w:val="32"/>
          <w:szCs w:val="32"/>
          <w:lang w:val="en-US" w:eastAsia="zh-CN" w:bidi="ar-SA"/>
          <w14:ligatures w14:val="none"/>
        </w:rPr>
        <w:t>（一）项目实施</w:t>
      </w:r>
      <w:r>
        <w:rPr>
          <w:rFonts w:hint="eastAsia" w:ascii="仿宋" w:hAnsi="仿宋" w:eastAsia="仿宋" w:cs="仿宋"/>
          <w:snapToGrid/>
          <w:color w:val="000000"/>
          <w:kern w:val="2"/>
          <w:sz w:val="32"/>
          <w:szCs w:val="32"/>
          <w:lang w:val="en-US" w:eastAsia="zh-CN" w:bidi="ar-SA"/>
          <w14:ligatures w14:val="none"/>
        </w:rPr>
        <w:t>​</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napToGrid/>
          <w:color w:val="000000"/>
          <w:kern w:val="2"/>
          <w:sz w:val="32"/>
          <w:szCs w:val="32"/>
          <w:lang w:val="en-US" w:eastAsia="zh-CN" w:bidi="ar-SA"/>
          <w14:ligatures w14:val="none"/>
        </w:rPr>
        <w:t>养殖主体在2026年1月1日-10月30日内，自行采购符合技术规格的改性纤维钢化罐，完成运输、安装及调试，同步留存采购合同、发票、安装影像等佐证材料，各乡镇指定专人跟踪项目进度。​</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9"/>
        <w:rPr>
          <w:rFonts w:hint="eastAsia" w:ascii="仿宋" w:hAnsi="仿宋" w:eastAsia="仿宋" w:cs="仿宋"/>
          <w:snapToGrid/>
          <w:color w:val="000000"/>
          <w:kern w:val="2"/>
          <w:sz w:val="32"/>
          <w:szCs w:val="32"/>
          <w:lang w:val="en-US" w:eastAsia="zh-CN" w:bidi="ar-SA"/>
          <w14:ligatures w14:val="none"/>
        </w:rPr>
      </w:pPr>
      <w:r>
        <w:rPr>
          <w:rFonts w:hint="eastAsia" w:ascii="楷体" w:hAnsi="楷体" w:eastAsia="楷体" w:cs="楷体"/>
          <w:snapToGrid/>
          <w:color w:val="000000"/>
          <w:kern w:val="2"/>
          <w:sz w:val="32"/>
          <w:szCs w:val="32"/>
          <w:lang w:val="en-US" w:eastAsia="zh-CN" w:bidi="ar-SA"/>
          <w14:ligatures w14:val="none"/>
        </w:rPr>
        <w:t>（二）县级验收</w:t>
      </w:r>
      <w:r>
        <w:rPr>
          <w:rFonts w:hint="eastAsia" w:ascii="仿宋" w:hAnsi="仿宋" w:eastAsia="仿宋" w:cs="仿宋"/>
          <w:snapToGrid/>
          <w:color w:val="000000"/>
          <w:kern w:val="2"/>
          <w:sz w:val="32"/>
          <w:szCs w:val="32"/>
          <w:lang w:val="en-US" w:eastAsia="zh-CN" w:bidi="ar-SA"/>
          <w14:ligatures w14:val="none"/>
        </w:rPr>
        <w:t>​</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9"/>
        <w:rPr>
          <w:rFonts w:hint="eastAsia" w:ascii="仿宋" w:hAnsi="仿宋" w:eastAsia="仿宋" w:cs="仿宋"/>
          <w:snapToGrid/>
          <w:color w:val="000000"/>
          <w:kern w:val="2"/>
          <w:sz w:val="32"/>
          <w:szCs w:val="32"/>
          <w:lang w:val="en-US" w:eastAsia="zh-CN" w:bidi="ar-SA"/>
          <w14:ligatures w14:val="none"/>
        </w:rPr>
      </w:pPr>
      <w:r>
        <w:rPr>
          <w:rFonts w:hint="eastAsia" w:ascii="仿宋" w:hAnsi="仿宋" w:eastAsia="仿宋" w:cs="仿宋"/>
          <w:snapToGrid/>
          <w:color w:val="000000"/>
          <w:kern w:val="2"/>
          <w:sz w:val="32"/>
          <w:szCs w:val="32"/>
          <w:lang w:val="en-US" w:eastAsia="zh-CN" w:bidi="ar-SA"/>
          <w14:ligatures w14:val="none"/>
        </w:rPr>
        <w:t>1、验收时间：2026年11月1日 -11月20日。</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9"/>
        <w:rPr>
          <w:rFonts w:hint="eastAsia" w:ascii="仿宋" w:hAnsi="仿宋" w:eastAsia="仿宋" w:cs="仿宋"/>
          <w:snapToGrid/>
          <w:color w:val="000000"/>
          <w:kern w:val="2"/>
          <w:sz w:val="32"/>
          <w:szCs w:val="32"/>
          <w:lang w:val="en-US" w:eastAsia="zh-CN" w:bidi="ar-SA"/>
          <w14:ligatures w14:val="none"/>
        </w:rPr>
      </w:pPr>
      <w:r>
        <w:rPr>
          <w:rFonts w:hint="eastAsia" w:ascii="仿宋" w:hAnsi="仿宋" w:eastAsia="仿宋" w:cs="仿宋"/>
          <w:snapToGrid/>
          <w:color w:val="000000"/>
          <w:kern w:val="2"/>
          <w:sz w:val="32"/>
          <w:szCs w:val="32"/>
          <w:lang w:val="en-US" w:eastAsia="zh-CN" w:bidi="ar-SA"/>
          <w14:ligatures w14:val="none"/>
        </w:rPr>
        <w:t>2、验收方式：由县农业农村局制定项目验收方案，县农业农村局联合县财政局及乡镇人民政府对项目进行验收。</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9"/>
        <w:rPr>
          <w:rFonts w:hint="eastAsia" w:ascii="仿宋" w:hAnsi="仿宋" w:eastAsia="仿宋" w:cs="仿宋"/>
          <w:snapToGrid/>
          <w:color w:val="000000"/>
          <w:kern w:val="2"/>
          <w:sz w:val="32"/>
          <w:szCs w:val="32"/>
          <w:lang w:val="en-US" w:eastAsia="zh-CN" w:bidi="ar-SA"/>
          <w14:ligatures w14:val="none"/>
        </w:rPr>
      </w:pPr>
      <w:r>
        <w:rPr>
          <w:rFonts w:hint="eastAsia" w:ascii="仿宋" w:hAnsi="仿宋" w:eastAsia="仿宋" w:cs="仿宋"/>
          <w:snapToGrid/>
          <w:color w:val="000000"/>
          <w:kern w:val="2"/>
          <w:sz w:val="32"/>
          <w:szCs w:val="32"/>
          <w:lang w:val="en-US" w:eastAsia="zh-CN" w:bidi="ar-SA"/>
          <w14:ligatures w14:val="none"/>
        </w:rPr>
        <w:t>3、验收内容：主体资格、设备规格、安装质量、佐证材料完整性等，验收结果需经养殖主体及验收组共同签字确认。</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9"/>
        <w:rPr>
          <w:rFonts w:hint="eastAsia" w:ascii="仿宋" w:hAnsi="仿宋" w:eastAsia="仿宋" w:cs="仿宋"/>
          <w:snapToGrid/>
          <w:color w:val="000000"/>
          <w:kern w:val="2"/>
          <w:sz w:val="32"/>
          <w:szCs w:val="32"/>
          <w:lang w:val="en-US" w:eastAsia="zh-CN" w:bidi="ar-SA"/>
          <w14:ligatures w14:val="none"/>
        </w:rPr>
      </w:pPr>
      <w:r>
        <w:rPr>
          <w:rFonts w:hint="eastAsia" w:ascii="仿宋" w:hAnsi="仿宋" w:eastAsia="仿宋" w:cs="仿宋"/>
          <w:snapToGrid/>
          <w:color w:val="000000"/>
          <w:kern w:val="2"/>
          <w:sz w:val="32"/>
          <w:szCs w:val="32"/>
          <w:lang w:val="en-US" w:eastAsia="zh-CN" w:bidi="ar-SA"/>
          <w14:ligatures w14:val="none"/>
        </w:rPr>
        <w:t>4、公示环节：验收合格出具验收报告且公示，接受社会监督。​</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9"/>
        <w:rPr>
          <w:rFonts w:hint="eastAsia" w:ascii="仿宋" w:hAnsi="仿宋" w:eastAsia="仿宋" w:cs="仿宋"/>
          <w:snapToGrid/>
          <w:color w:val="000000"/>
          <w:kern w:val="2"/>
          <w:sz w:val="32"/>
          <w:szCs w:val="32"/>
          <w:lang w:val="en-US" w:eastAsia="zh-CN" w:bidi="ar-SA"/>
          <w14:ligatures w14:val="none"/>
        </w:rPr>
      </w:pPr>
      <w:r>
        <w:rPr>
          <w:rFonts w:hint="eastAsia" w:ascii="楷体" w:hAnsi="楷体" w:eastAsia="楷体" w:cs="楷体"/>
          <w:snapToGrid/>
          <w:color w:val="000000"/>
          <w:kern w:val="2"/>
          <w:sz w:val="32"/>
          <w:szCs w:val="32"/>
          <w:lang w:val="en-US" w:eastAsia="zh-CN" w:bidi="ar-SA"/>
          <w14:ligatures w14:val="none"/>
        </w:rPr>
        <w:t>（三）资金兑付</w:t>
      </w:r>
      <w:r>
        <w:rPr>
          <w:rFonts w:hint="eastAsia" w:ascii="仿宋" w:hAnsi="仿宋" w:eastAsia="仿宋" w:cs="仿宋"/>
          <w:snapToGrid/>
          <w:color w:val="000000"/>
          <w:kern w:val="2"/>
          <w:sz w:val="32"/>
          <w:szCs w:val="32"/>
          <w:lang w:val="en-US" w:eastAsia="zh-CN" w:bidi="ar-SA"/>
          <w14:ligatures w14:val="none"/>
        </w:rPr>
        <w:t>​</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9"/>
        <w:rPr>
          <w:rFonts w:hint="eastAsia" w:ascii="仿宋" w:hAnsi="仿宋" w:eastAsia="仿宋" w:cs="仿宋"/>
          <w:snapToGrid/>
          <w:color w:val="000000"/>
          <w:kern w:val="2"/>
          <w:sz w:val="32"/>
          <w:szCs w:val="32"/>
          <w:lang w:val="en-US" w:eastAsia="zh-CN" w:bidi="ar-SA"/>
          <w14:ligatures w14:val="none"/>
        </w:rPr>
      </w:pPr>
      <w:r>
        <w:rPr>
          <w:rFonts w:hint="eastAsia" w:ascii="仿宋" w:hAnsi="仿宋" w:eastAsia="仿宋" w:cs="仿宋"/>
          <w:snapToGrid/>
          <w:color w:val="000000"/>
          <w:kern w:val="2"/>
          <w:sz w:val="32"/>
          <w:szCs w:val="32"/>
          <w:lang w:val="en-US" w:eastAsia="zh-CN" w:bidi="ar-SA"/>
          <w14:ligatures w14:val="none"/>
        </w:rPr>
        <w:t>验收合格且公示无异议后，县农业农村局向县财政局提交申请补助资金并及时、足额、据实拨付至补助对象。​</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9"/>
        <w:rPr>
          <w:rFonts w:hint="eastAsia" w:ascii="仿宋" w:hAnsi="仿宋" w:eastAsia="仿宋" w:cs="仿宋"/>
          <w:snapToGrid/>
          <w:color w:val="000000"/>
          <w:kern w:val="2"/>
          <w:sz w:val="32"/>
          <w:szCs w:val="32"/>
          <w:lang w:val="en-US" w:eastAsia="zh-CN" w:bidi="ar-SA"/>
          <w14:ligatures w14:val="none"/>
        </w:rPr>
      </w:pPr>
      <w:r>
        <w:rPr>
          <w:rFonts w:hint="eastAsia" w:ascii="楷体" w:hAnsi="楷体" w:eastAsia="楷体" w:cs="楷体"/>
          <w:snapToGrid/>
          <w:color w:val="000000"/>
          <w:kern w:val="2"/>
          <w:sz w:val="32"/>
          <w:szCs w:val="32"/>
          <w:lang w:val="en-US" w:eastAsia="zh-CN" w:bidi="ar-SA"/>
          <w14:ligatures w14:val="none"/>
        </w:rPr>
        <w:t>（四）绩效管理</w:t>
      </w:r>
      <w:r>
        <w:rPr>
          <w:rFonts w:hint="eastAsia" w:ascii="仿宋" w:hAnsi="仿宋" w:eastAsia="仿宋" w:cs="仿宋"/>
          <w:snapToGrid/>
          <w:color w:val="000000"/>
          <w:kern w:val="2"/>
          <w:sz w:val="32"/>
          <w:szCs w:val="32"/>
          <w:lang w:val="en-US" w:eastAsia="zh-CN" w:bidi="ar-SA"/>
          <w14:ligatures w14:val="none"/>
        </w:rPr>
        <w:t>​</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9"/>
        <w:rPr>
          <w:rFonts w:hint="eastAsia" w:ascii="仿宋" w:hAnsi="仿宋" w:eastAsia="仿宋" w:cs="仿宋"/>
          <w:snapToGrid/>
          <w:color w:val="000000"/>
          <w:kern w:val="2"/>
          <w:sz w:val="32"/>
          <w:szCs w:val="32"/>
          <w:lang w:val="en-US" w:eastAsia="zh-CN" w:bidi="ar-SA"/>
          <w14:ligatures w14:val="none"/>
        </w:rPr>
      </w:pPr>
      <w:r>
        <w:rPr>
          <w:rFonts w:hint="eastAsia" w:ascii="仿宋" w:hAnsi="仿宋" w:eastAsia="仿宋" w:cs="仿宋"/>
          <w:snapToGrid/>
          <w:color w:val="000000"/>
          <w:kern w:val="2"/>
          <w:sz w:val="32"/>
          <w:szCs w:val="32"/>
          <w:lang w:val="en-US" w:eastAsia="zh-CN" w:bidi="ar-SA"/>
          <w14:ligatures w14:val="none"/>
        </w:rPr>
        <w:t>各乡镇于2026年12月1日前完成绩效自评，鸡东县农业农村局联合财政局汇总形成绩效评价报告，于2026年12月15日前报市级相关部门。​</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napToGrid/>
          <w:color w:val="000000"/>
          <w:kern w:val="2"/>
          <w:sz w:val="32"/>
          <w:szCs w:val="32"/>
          <w:lang w:val="en-US" w:eastAsia="zh-CN" w:bidi="ar-SA"/>
          <w14:ligatures w14:val="none"/>
        </w:rPr>
        <w:t>各相关乡镇政府负责本辖区养殖主体排查、资格初审、政策宣传、进度督促、矛盾协调等工作，确保项目有序推进。​</w:t>
      </w:r>
    </w:p>
    <w:p>
      <w:pPr>
        <w:keepNext w:val="0"/>
        <w:keepLines w:val="0"/>
        <w:pageBreakBefore w:val="0"/>
        <w:widowControl w:val="0"/>
        <w:kinsoku/>
        <w:wordWrap/>
        <w:overflowPunct/>
        <w:topLinePunct w:val="0"/>
        <w:autoSpaceDE/>
        <w:autoSpaceDN/>
        <w:bidi w:val="0"/>
        <w:adjustRightInd/>
        <w:snapToGrid/>
        <w:spacing w:after="0" w:line="560" w:lineRule="exact"/>
        <w:ind w:firstLine="564" w:firstLineChars="200"/>
        <w:jc w:val="both"/>
        <w:textAlignment w:val="auto"/>
        <w:outlineLvl w:val="9"/>
        <w:rPr>
          <w:rFonts w:hint="eastAsia" w:ascii="仿宋" w:hAnsi="仿宋" w:eastAsia="仿宋" w:cs="仿宋"/>
          <w:sz w:val="32"/>
          <w:szCs w:val="32"/>
        </w:rPr>
      </w:pPr>
      <w:r>
        <w:rPr>
          <w:rFonts w:hint="eastAsia" w:ascii="黑体" w:hAnsi="黑体" w:eastAsia="黑体" w:cs="黑体"/>
          <w:b w:val="0"/>
          <w:bCs w:val="0"/>
          <w:snapToGrid w:val="0"/>
          <w:color w:val="000000"/>
          <w:spacing w:val="-19"/>
          <w:kern w:val="0"/>
          <w:sz w:val="32"/>
          <w:szCs w:val="32"/>
          <w:lang w:val="en-US" w:eastAsia="zh-CN"/>
          <w14:ligatures w14:val="none"/>
        </w:rPr>
        <w:t>五、保障措施</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9"/>
        <w:rPr>
          <w:rFonts w:hint="eastAsia" w:ascii="仿宋" w:hAnsi="仿宋" w:eastAsia="仿宋" w:cs="仿宋"/>
          <w:snapToGrid/>
          <w:color w:val="000000"/>
          <w:kern w:val="2"/>
          <w:sz w:val="32"/>
          <w:szCs w:val="32"/>
          <w:lang w:val="en-US" w:eastAsia="zh-CN" w:bidi="ar-SA"/>
          <w14:ligatures w14:val="none"/>
        </w:rPr>
      </w:pPr>
      <w:r>
        <w:rPr>
          <w:rFonts w:hint="eastAsia" w:ascii="楷体" w:hAnsi="楷体" w:eastAsia="楷体" w:cs="楷体"/>
          <w:snapToGrid/>
          <w:color w:val="000000"/>
          <w:kern w:val="2"/>
          <w:sz w:val="32"/>
          <w:szCs w:val="32"/>
          <w:lang w:val="en-US" w:eastAsia="zh-CN" w:bidi="ar-SA"/>
          <w14:ligatures w14:val="none"/>
        </w:rPr>
        <w:t>（一）加强组织领导</w:t>
      </w:r>
      <w:r>
        <w:rPr>
          <w:rFonts w:hint="eastAsia" w:ascii="仿宋" w:hAnsi="仿宋" w:eastAsia="仿宋" w:cs="仿宋"/>
          <w:snapToGrid/>
          <w:color w:val="000000"/>
          <w:kern w:val="2"/>
          <w:sz w:val="32"/>
          <w:szCs w:val="32"/>
          <w:lang w:val="en-US" w:eastAsia="zh-CN" w:bidi="ar-SA"/>
          <w14:ligatures w14:val="none"/>
        </w:rPr>
        <w:t>：成立由县分管领导任组长，县农业农村局局长、财政局局长任副组长，各乡镇镇长为成员的项目工作领导小组，统筹协调项目实施中的重大问题。​</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9"/>
        <w:rPr>
          <w:rFonts w:hint="eastAsia" w:ascii="仿宋" w:hAnsi="仿宋" w:eastAsia="仿宋" w:cs="仿宋"/>
          <w:snapToGrid/>
          <w:color w:val="000000"/>
          <w:kern w:val="2"/>
          <w:sz w:val="32"/>
          <w:szCs w:val="32"/>
          <w:lang w:val="en-US" w:eastAsia="zh-CN" w:bidi="ar-SA"/>
          <w14:ligatures w14:val="none"/>
        </w:rPr>
      </w:pPr>
      <w:r>
        <w:rPr>
          <w:rFonts w:hint="eastAsia" w:ascii="楷体" w:hAnsi="楷体" w:eastAsia="楷体" w:cs="楷体"/>
          <w:snapToGrid/>
          <w:color w:val="000000"/>
          <w:kern w:val="2"/>
          <w:sz w:val="32"/>
          <w:szCs w:val="32"/>
          <w:lang w:val="en-US" w:eastAsia="zh-CN" w:bidi="ar-SA"/>
          <w14:ligatures w14:val="none"/>
        </w:rPr>
        <w:t>（二）严格监督管理</w:t>
      </w:r>
      <w:r>
        <w:rPr>
          <w:rFonts w:hint="eastAsia" w:ascii="仿宋" w:hAnsi="仿宋" w:eastAsia="仿宋" w:cs="仿宋"/>
          <w:snapToGrid/>
          <w:color w:val="000000"/>
          <w:kern w:val="2"/>
          <w:sz w:val="32"/>
          <w:szCs w:val="32"/>
          <w:lang w:val="en-US" w:eastAsia="zh-CN" w:bidi="ar-SA"/>
          <w14:ligatures w14:val="none"/>
        </w:rPr>
        <w:t>：建立“县级抽查、乡镇巡查、主体承诺” 的监管机制，严禁虚报冒领、套取补贴资金等行为，对违规主体取消补贴资格并依法追责。​</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9"/>
        <w:rPr>
          <w:rFonts w:hint="eastAsia" w:ascii="仿宋" w:hAnsi="仿宋" w:eastAsia="仿宋" w:cs="仿宋"/>
          <w:snapToGrid/>
          <w:color w:val="000000"/>
          <w:kern w:val="2"/>
          <w:sz w:val="32"/>
          <w:szCs w:val="32"/>
          <w:lang w:val="en-US" w:eastAsia="zh-CN" w:bidi="ar-SA"/>
          <w14:ligatures w14:val="none"/>
        </w:rPr>
      </w:pPr>
      <w:r>
        <w:rPr>
          <w:rFonts w:hint="eastAsia" w:ascii="楷体" w:hAnsi="楷体" w:eastAsia="楷体" w:cs="楷体"/>
          <w:snapToGrid/>
          <w:color w:val="000000"/>
          <w:kern w:val="2"/>
          <w:sz w:val="32"/>
          <w:szCs w:val="32"/>
          <w:lang w:val="en-US" w:eastAsia="zh-CN" w:bidi="ar-SA"/>
          <w14:ligatures w14:val="none"/>
        </w:rPr>
        <w:t>（三）强化政策宣传</w:t>
      </w:r>
      <w:r>
        <w:rPr>
          <w:rFonts w:hint="eastAsia" w:ascii="仿宋" w:hAnsi="仿宋" w:eastAsia="仿宋" w:cs="仿宋"/>
          <w:snapToGrid/>
          <w:color w:val="000000"/>
          <w:kern w:val="2"/>
          <w:sz w:val="32"/>
          <w:szCs w:val="32"/>
          <w:lang w:val="en-US" w:eastAsia="zh-CN" w:bidi="ar-SA"/>
          <w14:ligatures w14:val="none"/>
        </w:rPr>
        <w:t>：通过乡镇政务公开栏、养殖主体微信群、现场宣讲等方式，解读补贴政策、技术规格及申报流程，确保政策知晓率100%。​</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9"/>
        <w:rPr>
          <w:rFonts w:hint="eastAsia" w:ascii="仿宋" w:hAnsi="仿宋" w:eastAsia="仿宋" w:cs="仿宋"/>
          <w:sz w:val="32"/>
          <w:szCs w:val="32"/>
        </w:rPr>
      </w:pPr>
      <w:r>
        <w:rPr>
          <w:rFonts w:hint="eastAsia" w:ascii="楷体" w:hAnsi="楷体" w:eastAsia="楷体" w:cs="楷体"/>
          <w:snapToGrid/>
          <w:color w:val="000000"/>
          <w:kern w:val="2"/>
          <w:sz w:val="32"/>
          <w:szCs w:val="32"/>
          <w:lang w:val="en-US" w:eastAsia="zh-CN" w:bidi="ar-SA"/>
          <w14:ligatures w14:val="none"/>
        </w:rPr>
        <w:t>（四）做好档案管理：</w:t>
      </w:r>
      <w:r>
        <w:rPr>
          <w:rFonts w:hint="eastAsia" w:ascii="仿宋" w:hAnsi="仿宋" w:eastAsia="仿宋" w:cs="仿宋"/>
          <w:snapToGrid/>
          <w:color w:val="000000"/>
          <w:kern w:val="2"/>
          <w:sz w:val="32"/>
          <w:szCs w:val="32"/>
          <w:lang w:val="en-US" w:eastAsia="zh-CN" w:bidi="ar-SA"/>
          <w14:ligatures w14:val="none"/>
        </w:rPr>
        <w:t>农业农村局及各乡镇分别建立项目档案，留存申报材料、合同发票、验收记录、公示文件、资金拨付凭证等资料，做到全程可追溯。</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9"/>
        <w:rPr>
          <w:rFonts w:hint="eastAsia" w:ascii="仿宋" w:hAnsi="仿宋" w:eastAsia="仿宋" w:cs="仿宋"/>
          <w:snapToGrid/>
          <w:color w:val="000000"/>
          <w:kern w:val="2"/>
          <w:sz w:val="32"/>
          <w:szCs w:val="32"/>
          <w:lang w:val="en-US" w:eastAsia="zh-CN"/>
          <w14:ligatures w14:val="none"/>
        </w:rPr>
      </w:pP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9"/>
        <w:rPr>
          <w:rFonts w:hint="eastAsia" w:ascii="仿宋" w:hAnsi="仿宋" w:eastAsia="仿宋" w:cs="仿宋"/>
          <w:snapToGrid/>
          <w:color w:val="000000"/>
          <w:kern w:val="2"/>
          <w:sz w:val="32"/>
          <w:szCs w:val="32"/>
          <w:lang w:val="en-US" w:eastAsia="zh-CN"/>
          <w14:ligatures w14:val="none"/>
        </w:rPr>
      </w:pP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9"/>
        <w:rPr>
          <w:rFonts w:hint="eastAsia" w:ascii="仿宋" w:hAnsi="仿宋" w:eastAsia="仿宋" w:cs="仿宋"/>
          <w:snapToGrid/>
          <w:color w:val="000000"/>
          <w:kern w:val="2"/>
          <w:sz w:val="32"/>
          <w:szCs w:val="32"/>
          <w:lang w:val="en-US" w:eastAsia="zh-CN"/>
          <w14:ligatures w14:val="none"/>
        </w:rPr>
      </w:pPr>
    </w:p>
    <w:p>
      <w:pPr>
        <w:keepNext w:val="0"/>
        <w:keepLines w:val="0"/>
        <w:pageBreakBefore w:val="0"/>
        <w:wordWrap/>
        <w:overflowPunct/>
        <w:topLinePunct w:val="0"/>
        <w:bidi w:val="0"/>
        <w:spacing w:line="560" w:lineRule="exact"/>
        <w:ind w:firstLine="640" w:firstLineChars="200"/>
        <w:jc w:val="both"/>
        <w:outlineLvl w:val="9"/>
        <w:rPr>
          <w:rFonts w:hint="eastAsia" w:ascii="仿宋" w:hAnsi="仿宋" w:eastAsia="仿宋" w:cs="仿宋"/>
          <w:snapToGrid/>
          <w:color w:val="000000"/>
          <w:kern w:val="2"/>
          <w:sz w:val="32"/>
          <w:szCs w:val="32"/>
          <w:lang w:val="en-US" w:eastAsia="zh-CN"/>
          <w14:ligatures w14:val="none"/>
        </w:rPr>
      </w:pPr>
    </w:p>
    <w:p>
      <w:pPr>
        <w:keepNext w:val="0"/>
        <w:keepLines w:val="0"/>
        <w:pageBreakBefore w:val="0"/>
        <w:widowControl/>
        <w:wordWrap/>
        <w:overflowPunct/>
        <w:topLinePunct w:val="0"/>
        <w:bidi w:val="0"/>
        <w:spacing w:line="560" w:lineRule="exact"/>
        <w:ind w:firstLine="640" w:firstLineChars="200"/>
        <w:jc w:val="both"/>
        <w:textAlignment w:val="center"/>
        <w:outlineLvl w:val="9"/>
        <w:rPr>
          <w:rFonts w:hint="eastAsia" w:ascii="黑体" w:hAnsi="黑体" w:eastAsia="黑体" w:cs="黑体"/>
          <w:bCs/>
          <w:sz w:val="32"/>
          <w:szCs w:val="32"/>
        </w:rPr>
      </w:pPr>
    </w:p>
    <w:p>
      <w:pPr>
        <w:widowControl/>
        <w:spacing w:line="560" w:lineRule="exact"/>
        <w:jc w:val="left"/>
        <w:textAlignment w:val="center"/>
        <w:rPr>
          <w:rFonts w:hint="eastAsia" w:ascii="黑体" w:hAnsi="黑体" w:eastAsia="黑体" w:cs="黑体"/>
          <w:bCs/>
          <w:sz w:val="32"/>
          <w:szCs w:val="32"/>
        </w:rPr>
      </w:pPr>
    </w:p>
    <w:p>
      <w:pPr>
        <w:widowControl/>
        <w:spacing w:line="560" w:lineRule="exact"/>
        <w:jc w:val="left"/>
        <w:textAlignment w:val="center"/>
        <w:rPr>
          <w:rFonts w:hint="eastAsia" w:ascii="黑体" w:hAnsi="黑体" w:eastAsia="黑体" w:cs="黑体"/>
          <w:bCs/>
          <w:sz w:val="32"/>
          <w:szCs w:val="32"/>
        </w:rPr>
      </w:pPr>
    </w:p>
    <w:p>
      <w:pPr>
        <w:widowControl/>
        <w:spacing w:line="560" w:lineRule="exact"/>
        <w:jc w:val="left"/>
        <w:textAlignment w:val="center"/>
        <w:rPr>
          <w:rFonts w:hint="eastAsia" w:ascii="黑体" w:hAnsi="黑体" w:eastAsia="黑体" w:cs="黑体"/>
          <w:bCs/>
          <w:sz w:val="32"/>
          <w:szCs w:val="32"/>
        </w:rPr>
        <w:sectPr>
          <w:footerReference r:id="rId5" w:type="default"/>
          <w:pgSz w:w="11906" w:h="16838"/>
          <w:pgMar w:top="2098" w:right="1474" w:bottom="1701" w:left="1587" w:header="851" w:footer="992" w:gutter="0"/>
          <w:cols w:space="0" w:num="1"/>
          <w:docGrid w:type="lines" w:linePitch="315" w:charSpace="0"/>
        </w:sectPr>
      </w:pPr>
    </w:p>
    <w:p>
      <w:pPr>
        <w:rPr>
          <w:rFonts w:hint="eastAsia" w:ascii="仿宋" w:hAnsi="仿宋" w:eastAsia="仿宋" w:cs="仿宋"/>
          <w:snapToGrid/>
          <w:color w:val="000000"/>
          <w:kern w:val="2"/>
          <w:sz w:val="32"/>
          <w:szCs w:val="32"/>
          <w:lang w:val="en-US" w:eastAsia="zh-CN"/>
          <w14:ligatures w14:val="none"/>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等线">
    <w:altName w:val="文泉驿微米黑"/>
    <w:panose1 w:val="00000000000000000000"/>
    <w:charset w:val="86"/>
    <w:family w:val="auto"/>
    <w:pitch w:val="default"/>
    <w:sig w:usb0="00000000" w:usb1="00000000" w:usb2="00000000" w:usb3="00000000" w:csb0="00000000" w:csb1="00000000"/>
  </w:font>
  <w:font w:name="等线">
    <w:altName w:val="文泉驿微米黑"/>
    <w:panose1 w:val="00000000000000000000"/>
    <w:charset w:val="00"/>
    <w:family w:val="auto"/>
    <w:pitch w:val="default"/>
    <w:sig w:usb0="00000000" w:usb1="00000000" w:usb2="00000000" w:usb3="00000000" w:csb0="00000000" w:csb1="00000000"/>
  </w:font>
  <w:font w:name="等线 Light">
    <w:altName w:val="汉仪中宋简"/>
    <w:panose1 w:val="02010600030101010101"/>
    <w:charset w:val="86"/>
    <w:family w:val="auto"/>
    <w:pitch w:val="default"/>
    <w:sig w:usb0="00000000" w:usb1="00000000" w:usb2="00000016" w:usb3="00000000" w:csb0="0004000F"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文泉驿微米黑">
    <w:panose1 w:val="020B0606030804020204"/>
    <w:charset w:val="86"/>
    <w:family w:val="auto"/>
    <w:pitch w:val="default"/>
    <w:sig w:usb0="E10002EF" w:usb1="6BDFFCFB" w:usb2="00800036" w:usb3="00000000" w:csb0="603E019F" w:csb1="DFD7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等线 Light">
    <w:altName w:val="文泉驿微米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57785" cy="139700"/>
              <wp:effectExtent l="0" t="0" r="0" b="0"/>
              <wp:wrapNone/>
              <wp:docPr id="1" name="文本框 1"/>
              <wp:cNvGraphicFramePr/>
              <a:graphic xmlns:a="http://schemas.openxmlformats.org/drawingml/2006/main">
                <a:graphicData uri="http://schemas.microsoft.com/office/word/2010/wordprocessingShape">
                  <wps:wsp>
                    <wps:cNvSpPr/>
                    <wps:spPr>
                      <a:xfrm>
                        <a:off x="0" y="0"/>
                        <a:ext cx="57950" cy="139674"/>
                      </a:xfrm>
                      <a:prstGeom prst="rect">
                        <a:avLst/>
                      </a:prstGeom>
                      <a:noFill/>
                      <a:ln w="6350" cap="flat" cmpd="sng">
                        <a:noFill/>
                        <a:prstDash val="solid"/>
                        <a:round/>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vert="horz" wrap="none" lIns="0" tIns="0" rIns="0" bIns="0" anchor="t" anchorCtr="false">
                      <a:spAutoFit/>
                    </wps:bodyPr>
                  </wps:wsp>
                </a:graphicData>
              </a:graphic>
            </wp:anchor>
          </w:drawing>
        </mc:Choice>
        <mc:Fallback>
          <w:pict>
            <v:rect id="文本框 1" o:spid="_x0000_s1026" o:spt="1" style="position:absolute;left:0pt;margin-top:0pt;height:11pt;width:4.55pt;mso-position-horizontal:center;mso-position-horizontal-relative:margin;mso-wrap-style:none;z-index:251659264;mso-width-relative:page;mso-height-relative:page;" filled="f" stroked="f" coordsize="21600,21600" o:gfxdata="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Ck/3HdUAAAACAQAADwAAAAAAAAABACAAAAA4AAAAZHJzL2Rvd25yZXYueG1sUEsB&#10;AhQAFAAAAAgAh07iQCAaY57iAQAAnQMAAA4AAAAAAAAAAQAgAAAAOgEAAGRycy9lMm9Eb2MueG1s&#10;UEsFBgAAAAAGAAYAWQEAAI4FAAAAAA==&#10;">
              <v:fill on="f" focussize="0,0"/>
              <v:stroke on="f" weight="0.5pt" joinstyle="round"/>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1A0"/>
    <w:rsid w:val="00072F4C"/>
    <w:rsid w:val="000F5AD6"/>
    <w:rsid w:val="00231EDA"/>
    <w:rsid w:val="004931E8"/>
    <w:rsid w:val="005A4A2C"/>
    <w:rsid w:val="008601A0"/>
    <w:rsid w:val="00963A5D"/>
    <w:rsid w:val="009D5428"/>
    <w:rsid w:val="00A80DA9"/>
    <w:rsid w:val="00F23946"/>
    <w:rsid w:val="00F6186F"/>
    <w:rsid w:val="00FC0C6D"/>
    <w:rsid w:val="032F673F"/>
    <w:rsid w:val="03EE3EEF"/>
    <w:rsid w:val="045C5ACF"/>
    <w:rsid w:val="04C21F7E"/>
    <w:rsid w:val="09063626"/>
    <w:rsid w:val="0BAB2709"/>
    <w:rsid w:val="1CCC4B92"/>
    <w:rsid w:val="1F4A7154"/>
    <w:rsid w:val="273E0A5A"/>
    <w:rsid w:val="2D9708A4"/>
    <w:rsid w:val="31E45203"/>
    <w:rsid w:val="347474FC"/>
    <w:rsid w:val="468B4FF2"/>
    <w:rsid w:val="4A2641D8"/>
    <w:rsid w:val="4B204686"/>
    <w:rsid w:val="51383FC9"/>
    <w:rsid w:val="5A4D3977"/>
    <w:rsid w:val="62747813"/>
    <w:rsid w:val="6688124D"/>
    <w:rsid w:val="6FC767EC"/>
    <w:rsid w:val="72D33DFE"/>
    <w:rsid w:val="739E58A9"/>
    <w:rsid w:val="739E5AB6"/>
    <w:rsid w:val="7ACA69FD"/>
    <w:rsid w:val="7C2B56C9"/>
    <w:rsid w:val="7DD81BC4"/>
    <w:rsid w:val="7E294F89"/>
    <w:rsid w:val="7E5E2168"/>
    <w:rsid w:val="FB7FBE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qFormat="1" w:unhideWhenUsed="0" w:uiPriority="0" w:semiHidden="0"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3">
    <w:name w:val="heading 1"/>
    <w:basedOn w:val="1"/>
    <w:next w:val="1"/>
    <w:link w:val="20"/>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4">
    <w:name w:val="heading 2"/>
    <w:basedOn w:val="1"/>
    <w:next w:val="1"/>
    <w:link w:val="21"/>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5">
    <w:name w:val="heading 3"/>
    <w:basedOn w:val="1"/>
    <w:next w:val="1"/>
    <w:link w:val="22"/>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6">
    <w:name w:val="heading 4"/>
    <w:basedOn w:val="1"/>
    <w:next w:val="1"/>
    <w:link w:val="23"/>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7">
    <w:name w:val="heading 5"/>
    <w:basedOn w:val="1"/>
    <w:next w:val="1"/>
    <w:link w:val="24"/>
    <w:semiHidden/>
    <w:unhideWhenUsed/>
    <w:qFormat/>
    <w:uiPriority w:val="9"/>
    <w:pPr>
      <w:keepNext/>
      <w:keepLines/>
      <w:spacing w:before="80" w:after="40"/>
      <w:outlineLvl w:val="4"/>
    </w:pPr>
    <w:rPr>
      <w:rFonts w:cstheme="majorBidi"/>
      <w:color w:val="2F5597" w:themeColor="accent1" w:themeShade="BF"/>
      <w:sz w:val="24"/>
    </w:rPr>
  </w:style>
  <w:style w:type="paragraph" w:styleId="8">
    <w:name w:val="heading 6"/>
    <w:basedOn w:val="1"/>
    <w:next w:val="1"/>
    <w:link w:val="25"/>
    <w:semiHidden/>
    <w:unhideWhenUsed/>
    <w:qFormat/>
    <w:uiPriority w:val="9"/>
    <w:pPr>
      <w:keepNext/>
      <w:keepLines/>
      <w:spacing w:before="40" w:after="0"/>
      <w:outlineLvl w:val="5"/>
    </w:pPr>
    <w:rPr>
      <w:rFonts w:cstheme="majorBidi"/>
      <w:b/>
      <w:bCs/>
      <w:color w:val="2F5597" w:themeColor="accent1" w:themeShade="BF"/>
    </w:rPr>
  </w:style>
  <w:style w:type="paragraph" w:styleId="9">
    <w:name w:val="heading 7"/>
    <w:basedOn w:val="1"/>
    <w:next w:val="1"/>
    <w:link w:val="26"/>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0">
    <w:name w:val="heading 8"/>
    <w:basedOn w:val="1"/>
    <w:next w:val="1"/>
    <w:link w:val="27"/>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1">
    <w:name w:val="heading 9"/>
    <w:basedOn w:val="1"/>
    <w:next w:val="1"/>
    <w:link w:val="28"/>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12">
    <w:name w:val="toc 7"/>
    <w:basedOn w:val="1"/>
    <w:next w:val="1"/>
    <w:qFormat/>
    <w:uiPriority w:val="0"/>
    <w:pPr>
      <w:keepNext w:val="0"/>
      <w:keepLines w:val="0"/>
      <w:widowControl w:val="0"/>
      <w:suppressLineNumbers w:val="0"/>
      <w:spacing w:before="0" w:beforeAutospacing="0" w:after="0" w:afterAutospacing="0" w:line="240" w:lineRule="auto"/>
      <w:ind w:left="2520" w:firstLine="0"/>
      <w:jc w:val="both"/>
    </w:pPr>
    <w:rPr>
      <w:rFonts w:ascii="Calibri" w:hAnsi="Calibri" w:eastAsia="宋体" w:cs="Calibri"/>
      <w:color w:val="auto"/>
      <w:kern w:val="2"/>
      <w:sz w:val="21"/>
      <w:szCs w:val="28"/>
      <w:lang w:val="en-US" w:eastAsia="zh-CN" w:bidi="ar"/>
    </w:rPr>
  </w:style>
  <w:style w:type="paragraph" w:styleId="13">
    <w:name w:val="Plain Text"/>
    <w:basedOn w:val="1"/>
    <w:next w:val="12"/>
    <w:qFormat/>
    <w:uiPriority w:val="0"/>
    <w:pPr>
      <w:keepNext w:val="0"/>
      <w:keepLines w:val="0"/>
      <w:widowControl w:val="0"/>
      <w:suppressLineNumbers w:val="0"/>
      <w:spacing w:before="0" w:beforeAutospacing="0" w:after="0" w:afterAutospacing="0" w:line="240" w:lineRule="auto"/>
      <w:ind w:left="0" w:firstLine="0"/>
      <w:jc w:val="both"/>
    </w:pPr>
    <w:rPr>
      <w:rFonts w:hint="eastAsia" w:ascii="宋体" w:hAnsi="宋体" w:eastAsia="宋体" w:cs="宋体"/>
      <w:color w:val="auto"/>
      <w:kern w:val="2"/>
      <w:sz w:val="21"/>
      <w:szCs w:val="28"/>
      <w:lang w:val="en-US" w:eastAsia="zh-CN" w:bidi="ar"/>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Subtitle"/>
    <w:basedOn w:val="1"/>
    <w:next w:val="1"/>
    <w:link w:val="30"/>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Title"/>
    <w:basedOn w:val="1"/>
    <w:next w:val="1"/>
    <w:link w:val="29"/>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0">
    <w:name w:val="标题 1 字符"/>
    <w:basedOn w:val="19"/>
    <w:link w:val="3"/>
    <w:qFormat/>
    <w:uiPriority w:val="9"/>
    <w:rPr>
      <w:rFonts w:asciiTheme="majorHAnsi" w:hAnsiTheme="majorHAnsi" w:eastAsiaTheme="majorEastAsia" w:cstheme="majorBidi"/>
      <w:color w:val="2F5597" w:themeColor="accent1" w:themeShade="BF"/>
      <w:sz w:val="48"/>
      <w:szCs w:val="48"/>
    </w:rPr>
  </w:style>
  <w:style w:type="character" w:customStyle="1" w:styleId="21">
    <w:name w:val="标题 2 字符"/>
    <w:basedOn w:val="19"/>
    <w:link w:val="4"/>
    <w:semiHidden/>
    <w:qFormat/>
    <w:uiPriority w:val="9"/>
    <w:rPr>
      <w:rFonts w:asciiTheme="majorHAnsi" w:hAnsiTheme="majorHAnsi" w:eastAsiaTheme="majorEastAsia" w:cstheme="majorBidi"/>
      <w:color w:val="2F5597" w:themeColor="accent1" w:themeShade="BF"/>
      <w:sz w:val="40"/>
      <w:szCs w:val="40"/>
    </w:rPr>
  </w:style>
  <w:style w:type="character" w:customStyle="1" w:styleId="22">
    <w:name w:val="标题 3 字符"/>
    <w:basedOn w:val="19"/>
    <w:link w:val="5"/>
    <w:semiHidden/>
    <w:qFormat/>
    <w:uiPriority w:val="9"/>
    <w:rPr>
      <w:rFonts w:asciiTheme="majorHAnsi" w:hAnsiTheme="majorHAnsi" w:eastAsiaTheme="majorEastAsia" w:cstheme="majorBidi"/>
      <w:color w:val="2F5597" w:themeColor="accent1" w:themeShade="BF"/>
      <w:sz w:val="32"/>
      <w:szCs w:val="32"/>
    </w:rPr>
  </w:style>
  <w:style w:type="character" w:customStyle="1" w:styleId="23">
    <w:name w:val="标题 4 字符"/>
    <w:basedOn w:val="19"/>
    <w:link w:val="6"/>
    <w:semiHidden/>
    <w:qFormat/>
    <w:uiPriority w:val="9"/>
    <w:rPr>
      <w:rFonts w:cstheme="majorBidi"/>
      <w:color w:val="2F5597" w:themeColor="accent1" w:themeShade="BF"/>
      <w:sz w:val="28"/>
      <w:szCs w:val="28"/>
    </w:rPr>
  </w:style>
  <w:style w:type="character" w:customStyle="1" w:styleId="24">
    <w:name w:val="标题 5 字符"/>
    <w:basedOn w:val="19"/>
    <w:link w:val="7"/>
    <w:semiHidden/>
    <w:qFormat/>
    <w:uiPriority w:val="9"/>
    <w:rPr>
      <w:rFonts w:cstheme="majorBidi"/>
      <w:color w:val="2F5597" w:themeColor="accent1" w:themeShade="BF"/>
      <w:sz w:val="24"/>
    </w:rPr>
  </w:style>
  <w:style w:type="character" w:customStyle="1" w:styleId="25">
    <w:name w:val="标题 6 字符"/>
    <w:basedOn w:val="19"/>
    <w:link w:val="8"/>
    <w:semiHidden/>
    <w:qFormat/>
    <w:uiPriority w:val="9"/>
    <w:rPr>
      <w:rFonts w:cstheme="majorBidi"/>
      <w:b/>
      <w:bCs/>
      <w:color w:val="2F5597" w:themeColor="accent1" w:themeShade="BF"/>
    </w:rPr>
  </w:style>
  <w:style w:type="character" w:customStyle="1" w:styleId="26">
    <w:name w:val="标题 7 字符"/>
    <w:basedOn w:val="19"/>
    <w:link w:val="9"/>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7">
    <w:name w:val="标题 8 字符"/>
    <w:basedOn w:val="19"/>
    <w:link w:val="10"/>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8">
    <w:name w:val="标题 9 字符"/>
    <w:basedOn w:val="19"/>
    <w:link w:val="11"/>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9">
    <w:name w:val="标题 字符"/>
    <w:basedOn w:val="19"/>
    <w:link w:val="16"/>
    <w:qFormat/>
    <w:uiPriority w:val="10"/>
    <w:rPr>
      <w:rFonts w:asciiTheme="majorHAnsi" w:hAnsiTheme="majorHAnsi" w:eastAsiaTheme="majorEastAsia" w:cstheme="majorBidi"/>
      <w:spacing w:val="-10"/>
      <w:kern w:val="28"/>
      <w:sz w:val="56"/>
      <w:szCs w:val="56"/>
    </w:rPr>
  </w:style>
  <w:style w:type="character" w:customStyle="1" w:styleId="30">
    <w:name w:val="副标题 字符"/>
    <w:basedOn w:val="19"/>
    <w:link w:val="15"/>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引用 字符"/>
    <w:basedOn w:val="19"/>
    <w:link w:val="31"/>
    <w:qFormat/>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style>
  <w:style w:type="character" w:customStyle="1" w:styleId="34">
    <w:name w:val="Intense Emphasis"/>
    <w:basedOn w:val="19"/>
    <w:qFormat/>
    <w:uiPriority w:val="21"/>
    <w:rPr>
      <w:i/>
      <w:iCs/>
      <w:color w:val="2F5597" w:themeColor="accent1" w:themeShade="BF"/>
    </w:rPr>
  </w:style>
  <w:style w:type="paragraph" w:styleId="35">
    <w:name w:val="Intense Quote"/>
    <w:basedOn w:val="1"/>
    <w:next w:val="1"/>
    <w:link w:val="36"/>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6">
    <w:name w:val="明显引用 字符"/>
    <w:basedOn w:val="19"/>
    <w:link w:val="35"/>
    <w:qFormat/>
    <w:uiPriority w:val="30"/>
    <w:rPr>
      <w:i/>
      <w:iCs/>
      <w:color w:val="2F5597" w:themeColor="accent1" w:themeShade="BF"/>
    </w:rPr>
  </w:style>
  <w:style w:type="character" w:customStyle="1" w:styleId="37">
    <w:name w:val="Intense Reference"/>
    <w:basedOn w:val="19"/>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1515</Words>
  <Characters>1582</Characters>
  <Lines>13</Lines>
  <Paragraphs>3</Paragraphs>
  <TotalTime>32</TotalTime>
  <ScaleCrop>false</ScaleCrop>
  <LinksUpToDate>false</LinksUpToDate>
  <CharactersWithSpaces>1607</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2025-11-20T14:24:00Z</dcterms:created>
  <dc:creator>tao liu</dc:creator>
  <cp:lastModifiedBy>greatwall</cp:lastModifiedBy>
  <cp:lastPrinted>2025-11-25T16:11:00Z</cp:lastPrinted>
  <dcterms:modified xsi:type="dcterms:W3CDTF">2025-12-01T12:45:55Z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eyJoZGlkIjoiZjY3ZDlhY2UyMjBiNjlhM2M0ZjlkMmNkOTA1YTE0YzgiLCJ1c2VySWQiOiI0MzU4NTEwNDIifQ==</vt:lpwstr>
  </property>
  <property fmtid="{D5CDD505-2E9C-101B-9397-08002B2CF9AE}" pid="3" name="KSOProductBuildVer">
    <vt:lpwstr>2052-11.8.2.9849</vt:lpwstr>
  </property>
  <property fmtid="{D5CDD505-2E9C-101B-9397-08002B2CF9AE}" pid="4" name="ICV">
    <vt:lpwstr>6706540E325B43DD8E1DC047E6AEC53E_13</vt:lpwstr>
  </property>
</Properties>
</file>