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89A04">
      <w:pPr>
        <w:numPr>
          <w:ilvl w:val="0"/>
          <w:numId w:val="0"/>
        </w:numPr>
        <w:autoSpaceDE/>
        <w:autoSpaceDN/>
        <w:snapToGrid/>
        <w:spacing w:before="0" w:after="0" w:line="240" w:lineRule="auto"/>
        <w:ind w:right="0" w:firstLine="0"/>
        <w:jc w:val="center"/>
        <w:rPr>
          <w:rFonts w:hint="default" w:ascii="Calibri" w:hAnsi="宋体" w:eastAsia="宋体"/>
          <w:color w:val="auto"/>
          <w:position w:val="0"/>
          <w:sz w:val="21"/>
          <w:szCs w:val="21"/>
        </w:rPr>
      </w:pPr>
      <w:r>
        <w:rPr>
          <w:rFonts w:hint="eastAsia" w:ascii="黑体" w:hAnsi="黑体" w:eastAsia="黑体"/>
          <w:color w:val="auto"/>
          <w:position w:val="0"/>
          <w:sz w:val="36"/>
          <w:szCs w:val="36"/>
          <w:lang w:eastAsia="zh-CN"/>
        </w:rPr>
        <w:t>专家</w:t>
      </w:r>
      <w:r>
        <w:rPr>
          <w:rFonts w:hint="default" w:ascii="黑体" w:hAnsi="黑体" w:eastAsia="黑体"/>
          <w:color w:val="auto"/>
          <w:position w:val="0"/>
          <w:sz w:val="36"/>
          <w:szCs w:val="36"/>
        </w:rPr>
        <w:t>评审意见</w:t>
      </w:r>
    </w:p>
    <w:tbl>
      <w:tblPr>
        <w:tblStyle w:val="26"/>
        <w:tblW w:w="9769" w:type="dxa"/>
        <w:jc w:val="center"/>
        <w:tblLayout w:type="fixed"/>
        <w:tblCellMar>
          <w:top w:w="0" w:type="dxa"/>
          <w:left w:w="0" w:type="dxa"/>
          <w:bottom w:w="0" w:type="dxa"/>
          <w:right w:w="0" w:type="dxa"/>
        </w:tblCellMar>
      </w:tblPr>
      <w:tblGrid>
        <w:gridCol w:w="1847"/>
        <w:gridCol w:w="1654"/>
        <w:gridCol w:w="2577"/>
        <w:gridCol w:w="3691"/>
      </w:tblGrid>
      <w:tr w14:paraId="260E2645">
        <w:tblPrEx>
          <w:tblCellMar>
            <w:top w:w="0" w:type="dxa"/>
            <w:left w:w="0" w:type="dxa"/>
            <w:bottom w:w="0" w:type="dxa"/>
            <w:right w:w="0" w:type="dxa"/>
          </w:tblCellMar>
        </w:tblPrEx>
        <w:trPr>
          <w:trHeight w:val="442" w:hRule="atLeast"/>
          <w:jc w:val="center"/>
        </w:trPr>
        <w:tc>
          <w:tcPr>
            <w:tcW w:w="184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43622E6">
            <w:pPr>
              <w:numPr>
                <w:ilvl w:val="0"/>
                <w:numId w:val="0"/>
              </w:numPr>
              <w:autoSpaceDE/>
              <w:autoSpaceDN/>
              <w:snapToGrid/>
              <w:spacing w:before="0" w:after="0" w:line="240" w:lineRule="auto"/>
              <w:ind w:right="0" w:firstLine="0"/>
              <w:jc w:val="center"/>
              <w:rPr>
                <w:rFonts w:hint="default" w:ascii="宋体" w:hAnsi="宋体" w:eastAsia="宋体"/>
                <w:color w:val="auto"/>
                <w:position w:val="0"/>
                <w:sz w:val="24"/>
                <w:szCs w:val="24"/>
              </w:rPr>
            </w:pPr>
            <w:r>
              <w:rPr>
                <w:rFonts w:hint="eastAsia" w:ascii="宋体" w:hAnsi="宋体" w:eastAsia="宋体"/>
                <w:color w:val="000000"/>
                <w:position w:val="0"/>
                <w:sz w:val="24"/>
                <w:szCs w:val="24"/>
                <w:lang w:eastAsia="zh-CN"/>
              </w:rPr>
              <w:t>项目</w:t>
            </w:r>
            <w:r>
              <w:rPr>
                <w:rFonts w:hint="default" w:ascii="宋体" w:hAnsi="宋体" w:eastAsia="宋体"/>
                <w:color w:val="000000"/>
                <w:position w:val="0"/>
                <w:sz w:val="24"/>
                <w:szCs w:val="24"/>
              </w:rPr>
              <w:t>名称</w:t>
            </w:r>
          </w:p>
        </w:tc>
        <w:tc>
          <w:tcPr>
            <w:tcW w:w="7922" w:type="dxa"/>
            <w:gridSpan w:val="3"/>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FE5A736">
            <w:pPr>
              <w:numPr>
                <w:ilvl w:val="0"/>
                <w:numId w:val="0"/>
              </w:numPr>
              <w:autoSpaceDE/>
              <w:autoSpaceDN/>
              <w:snapToGrid/>
              <w:spacing w:before="0" w:after="0" w:line="240" w:lineRule="auto"/>
              <w:ind w:right="0" w:firstLine="0"/>
              <w:jc w:val="both"/>
              <w:rPr>
                <w:rFonts w:hint="default" w:ascii="宋体" w:hAnsi="宋体" w:eastAsia="宋体"/>
                <w:color w:val="auto"/>
                <w:position w:val="0"/>
                <w:sz w:val="24"/>
                <w:szCs w:val="24"/>
              </w:rPr>
            </w:pPr>
            <w:r>
              <w:rPr>
                <w:rFonts w:hint="eastAsia" w:ascii="宋体" w:hAnsi="宋体" w:eastAsia="宋体"/>
                <w:color w:val="000000"/>
                <w:position w:val="0"/>
                <w:sz w:val="24"/>
                <w:szCs w:val="24"/>
                <w:lang w:val="en-US" w:eastAsia="zh-CN"/>
              </w:rPr>
              <w:t>鸡东县哈达镇青山村采石场矿区生态修复方案</w:t>
            </w:r>
          </w:p>
        </w:tc>
      </w:tr>
      <w:tr w14:paraId="6D05D6E3">
        <w:tblPrEx>
          <w:tblCellMar>
            <w:top w:w="0" w:type="dxa"/>
            <w:left w:w="0" w:type="dxa"/>
            <w:bottom w:w="0" w:type="dxa"/>
            <w:right w:w="0" w:type="dxa"/>
          </w:tblCellMar>
        </w:tblPrEx>
        <w:trPr>
          <w:trHeight w:val="422" w:hRule="atLeast"/>
          <w:jc w:val="center"/>
        </w:trPr>
        <w:tc>
          <w:tcPr>
            <w:tcW w:w="184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4087C35">
            <w:pPr>
              <w:numPr>
                <w:ilvl w:val="0"/>
                <w:numId w:val="0"/>
              </w:numPr>
              <w:autoSpaceDE/>
              <w:autoSpaceDN/>
              <w:snapToGrid/>
              <w:spacing w:before="0" w:after="0" w:line="240" w:lineRule="auto"/>
              <w:ind w:right="0" w:firstLine="0"/>
              <w:jc w:val="center"/>
              <w:rPr>
                <w:rFonts w:hint="default" w:ascii="宋体" w:hAnsi="宋体" w:eastAsia="宋体"/>
                <w:color w:val="auto"/>
                <w:position w:val="0"/>
                <w:sz w:val="24"/>
                <w:szCs w:val="24"/>
              </w:rPr>
            </w:pPr>
            <w:r>
              <w:rPr>
                <w:rFonts w:hint="eastAsia" w:ascii="宋体" w:hAnsi="宋体" w:eastAsia="宋体"/>
                <w:color w:val="000000"/>
                <w:position w:val="0"/>
                <w:sz w:val="24"/>
                <w:szCs w:val="24"/>
                <w:lang w:eastAsia="zh-CN"/>
              </w:rPr>
              <w:t>方案编制</w:t>
            </w:r>
            <w:r>
              <w:rPr>
                <w:rFonts w:hint="default" w:ascii="宋体" w:hAnsi="宋体" w:eastAsia="宋体"/>
                <w:color w:val="000000"/>
                <w:position w:val="0"/>
                <w:sz w:val="24"/>
                <w:szCs w:val="24"/>
              </w:rPr>
              <w:t>单位</w:t>
            </w:r>
          </w:p>
        </w:tc>
        <w:tc>
          <w:tcPr>
            <w:tcW w:w="7922" w:type="dxa"/>
            <w:gridSpan w:val="3"/>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BDDD0EC">
            <w:pPr>
              <w:numPr>
                <w:ilvl w:val="0"/>
                <w:numId w:val="0"/>
              </w:numPr>
              <w:autoSpaceDE/>
              <w:autoSpaceDN/>
              <w:snapToGrid/>
              <w:spacing w:before="0" w:after="0" w:line="240" w:lineRule="auto"/>
              <w:ind w:right="0" w:firstLine="0"/>
              <w:jc w:val="both"/>
              <w:rPr>
                <w:rFonts w:hint="default" w:ascii="宋体" w:hAnsi="宋体" w:eastAsia="宋体"/>
                <w:color w:val="auto"/>
                <w:position w:val="0"/>
                <w:sz w:val="24"/>
                <w:szCs w:val="24"/>
              </w:rPr>
            </w:pPr>
            <w:r>
              <w:rPr>
                <w:rFonts w:hint="eastAsia" w:ascii="宋体" w:hAnsi="宋体" w:eastAsia="宋体"/>
                <w:color w:val="000000"/>
                <w:position w:val="0"/>
                <w:sz w:val="24"/>
                <w:szCs w:val="24"/>
                <w:lang w:val="en-US" w:eastAsia="zh-CN"/>
              </w:rPr>
              <w:t>黑龙江省平川土地整理工程有限公司</w:t>
            </w:r>
          </w:p>
        </w:tc>
      </w:tr>
      <w:tr w14:paraId="0D3067D4">
        <w:tblPrEx>
          <w:tblCellMar>
            <w:top w:w="0" w:type="dxa"/>
            <w:left w:w="0" w:type="dxa"/>
            <w:bottom w:w="0" w:type="dxa"/>
            <w:right w:w="0" w:type="dxa"/>
          </w:tblCellMar>
        </w:tblPrEx>
        <w:trPr>
          <w:trHeight w:val="463" w:hRule="atLeast"/>
          <w:jc w:val="center"/>
        </w:trPr>
        <w:tc>
          <w:tcPr>
            <w:tcW w:w="184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58DCB70">
            <w:pPr>
              <w:numPr>
                <w:ilvl w:val="0"/>
                <w:numId w:val="0"/>
              </w:numPr>
              <w:autoSpaceDE/>
              <w:autoSpaceDN/>
              <w:snapToGrid/>
              <w:spacing w:before="0" w:after="0" w:line="240" w:lineRule="auto"/>
              <w:ind w:right="0" w:firstLine="0"/>
              <w:jc w:val="center"/>
              <w:rPr>
                <w:rFonts w:hint="default" w:ascii="宋体" w:hAnsi="宋体" w:eastAsia="宋体"/>
                <w:color w:val="auto"/>
                <w:position w:val="0"/>
                <w:sz w:val="24"/>
                <w:szCs w:val="24"/>
              </w:rPr>
            </w:pPr>
            <w:r>
              <w:rPr>
                <w:rFonts w:hint="eastAsia" w:ascii="宋体" w:hAnsi="宋体" w:eastAsia="宋体"/>
                <w:color w:val="000000"/>
                <w:position w:val="0"/>
                <w:sz w:val="24"/>
                <w:szCs w:val="24"/>
                <w:lang w:eastAsia="zh-CN"/>
              </w:rPr>
              <w:t>专家姓名</w:t>
            </w:r>
          </w:p>
        </w:tc>
        <w:tc>
          <w:tcPr>
            <w:tcW w:w="165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0B8AC75">
            <w:pPr>
              <w:numPr>
                <w:ilvl w:val="0"/>
                <w:numId w:val="0"/>
              </w:numPr>
              <w:autoSpaceDE/>
              <w:autoSpaceDN/>
              <w:snapToGrid/>
              <w:spacing w:before="0" w:after="0" w:line="240" w:lineRule="auto"/>
              <w:ind w:right="0" w:firstLine="0"/>
              <w:jc w:val="center"/>
              <w:rPr>
                <w:rFonts w:hint="eastAsia" w:ascii="宋体" w:hAnsi="宋体" w:eastAsia="宋体"/>
                <w:color w:val="000000"/>
                <w:position w:val="0"/>
                <w:sz w:val="24"/>
                <w:szCs w:val="24"/>
                <w:lang w:eastAsia="zh-CN"/>
              </w:rPr>
            </w:pPr>
            <w:r>
              <w:rPr>
                <w:rFonts w:hint="eastAsia" w:ascii="宋体" w:hAnsi="宋体" w:eastAsia="宋体"/>
                <w:color w:val="000000"/>
                <w:position w:val="0"/>
                <w:sz w:val="24"/>
                <w:szCs w:val="24"/>
                <w:lang w:eastAsia="zh-CN"/>
              </w:rPr>
              <w:t>王艳君</w:t>
            </w:r>
          </w:p>
        </w:tc>
        <w:tc>
          <w:tcPr>
            <w:tcW w:w="257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21BBBFD">
            <w:pPr>
              <w:numPr>
                <w:ilvl w:val="0"/>
                <w:numId w:val="0"/>
              </w:numPr>
              <w:autoSpaceDE/>
              <w:autoSpaceDN/>
              <w:snapToGrid/>
              <w:spacing w:before="0" w:after="0" w:line="240" w:lineRule="auto"/>
              <w:ind w:right="0" w:firstLine="0"/>
              <w:jc w:val="center"/>
              <w:rPr>
                <w:rFonts w:hint="eastAsia" w:ascii="宋体" w:hAnsi="宋体" w:eastAsia="宋体"/>
                <w:color w:val="auto"/>
                <w:position w:val="0"/>
                <w:sz w:val="24"/>
                <w:szCs w:val="24"/>
                <w:lang w:eastAsia="zh-CN"/>
              </w:rPr>
            </w:pPr>
            <w:r>
              <w:rPr>
                <w:rFonts w:hint="eastAsia" w:ascii="宋体" w:hAnsi="宋体" w:eastAsia="宋体"/>
                <w:color w:val="000000"/>
                <w:position w:val="0"/>
                <w:sz w:val="24"/>
                <w:szCs w:val="24"/>
                <w:lang w:eastAsia="zh-CN"/>
              </w:rPr>
              <w:t>专家工作单位</w:t>
            </w:r>
          </w:p>
        </w:tc>
        <w:tc>
          <w:tcPr>
            <w:tcW w:w="369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0A3AFCA">
            <w:pPr>
              <w:numPr>
                <w:ilvl w:val="0"/>
                <w:numId w:val="0"/>
              </w:numPr>
              <w:autoSpaceDE/>
              <w:autoSpaceDN/>
              <w:snapToGrid/>
              <w:spacing w:before="0" w:after="0" w:line="240" w:lineRule="auto"/>
              <w:ind w:right="0" w:firstLine="0"/>
              <w:jc w:val="center"/>
              <w:rPr>
                <w:rFonts w:hint="default" w:ascii="宋体" w:hAnsi="宋体" w:eastAsia="宋体"/>
                <w:color w:val="auto"/>
                <w:position w:val="0"/>
                <w:sz w:val="24"/>
                <w:szCs w:val="24"/>
                <w:lang w:val="en-US" w:eastAsia="zh-CN"/>
              </w:rPr>
            </w:pPr>
            <w:r>
              <w:rPr>
                <w:rFonts w:hint="eastAsia" w:ascii="宋体" w:hAnsi="宋体" w:eastAsia="宋体"/>
                <w:color w:val="auto"/>
                <w:position w:val="0"/>
                <w:sz w:val="24"/>
                <w:szCs w:val="24"/>
                <w:lang w:eastAsia="zh-CN"/>
              </w:rPr>
              <w:t>鸡西市水务局</w:t>
            </w:r>
          </w:p>
        </w:tc>
      </w:tr>
      <w:tr w14:paraId="1065B4E1">
        <w:tblPrEx>
          <w:tblCellMar>
            <w:top w:w="0" w:type="dxa"/>
            <w:left w:w="0" w:type="dxa"/>
            <w:bottom w:w="0" w:type="dxa"/>
            <w:right w:w="0" w:type="dxa"/>
          </w:tblCellMar>
        </w:tblPrEx>
        <w:trPr>
          <w:trHeight w:val="5313" w:hRule="atLeast"/>
          <w:jc w:val="center"/>
        </w:trPr>
        <w:tc>
          <w:tcPr>
            <w:tcW w:w="9769" w:type="dxa"/>
            <w:gridSpan w:val="4"/>
            <w:tcBorders>
              <w:top w:val="single" w:color="000000" w:sz="4" w:space="0"/>
              <w:left w:val="single" w:color="000000" w:sz="4" w:space="0"/>
              <w:bottom w:val="single" w:color="000000" w:sz="4" w:space="0"/>
              <w:right w:val="single" w:color="000000" w:sz="4" w:space="0"/>
            </w:tcBorders>
            <w:tcMar>
              <w:left w:w="108" w:type="dxa"/>
              <w:right w:w="108" w:type="dxa"/>
            </w:tcMar>
            <w:vAlign w:val="top"/>
          </w:tcPr>
          <w:p w14:paraId="30C89ED6">
            <w:pPr>
              <w:numPr>
                <w:ilvl w:val="0"/>
                <w:numId w:val="0"/>
              </w:numPr>
              <w:autoSpaceDE/>
              <w:autoSpaceDN/>
              <w:snapToGrid/>
              <w:spacing w:before="0" w:after="0" w:line="360" w:lineRule="auto"/>
              <w:ind w:right="0" w:firstLine="0"/>
              <w:jc w:val="left"/>
              <w:rPr>
                <w:rFonts w:hint="eastAsia" w:ascii="宋体" w:hAnsi="宋体" w:eastAsia="宋体"/>
                <w:color w:val="000000"/>
                <w:position w:val="0"/>
                <w:sz w:val="24"/>
                <w:szCs w:val="24"/>
                <w:lang w:eastAsia="zh-CN"/>
              </w:rPr>
            </w:pPr>
            <w:r>
              <w:rPr>
                <w:rFonts w:hint="eastAsia" w:ascii="宋体" w:hAnsi="宋体" w:eastAsia="宋体"/>
                <w:color w:val="000000"/>
                <w:position w:val="0"/>
                <w:sz w:val="24"/>
                <w:szCs w:val="24"/>
                <w:lang w:eastAsia="zh-CN"/>
              </w:rPr>
              <w:t>意见</w:t>
            </w:r>
          </w:p>
          <w:p w14:paraId="59248FCB">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1、根据修改后方案完善附件目录，所有附件目录中均应说明。</w:t>
            </w:r>
          </w:p>
          <w:p w14:paraId="30C8C65F">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2、任务由来中应补充说明该矿山是否编制过两案合一方案，是生产矿山还是停产矿山，本次是申请生产第一次编制生态修复方案吗？</w:t>
            </w:r>
          </w:p>
          <w:p w14:paraId="227D3EB1">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2FCC8668">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3、方案适用年限后补充说明“本方案不替代相关工程勘察、治理设计，根据指南总体要求，涉及地质灾害、水土流失、环境污染、固体废弃物利用等治理工程部署不列入本方案，另案编制”。补充说明是否符合三区三线、河湖库及防护范围</w:t>
            </w:r>
          </w:p>
          <w:p w14:paraId="33BD10B0">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5C937F59">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4、矿业权人基本情况说明中矿山地址应到具体的村、屯</w:t>
            </w:r>
          </w:p>
          <w:p w14:paraId="0D5ACE06">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05B1B184">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5、交通位置图建议选用鸡东县区划的，否则交通网看不清。</w:t>
            </w:r>
          </w:p>
          <w:p w14:paraId="39BA4902">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已更换</w:t>
            </w:r>
          </w:p>
          <w:p w14:paraId="7E542E2B">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6、矿山开采历史中建议补充说明须矿证办理过程及办完证后一直未生产原因，采矿证及有效期在历史情况中说明。</w:t>
            </w:r>
          </w:p>
          <w:p w14:paraId="37BC0642">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0C61D21D">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7、现状中说明是否已具备开采条件，是否附属工程已完成，批准后即可开工建设。补充矿山现状照片。</w:t>
            </w:r>
          </w:p>
          <w:p w14:paraId="791F3301">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6B95FF87">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8、采剥工艺应按开发利用方案说明，且说明依据开发利用方案。</w:t>
            </w:r>
          </w:p>
          <w:p w14:paraId="630EA4EE">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3CB38BAC">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9、复核矿山生产能力及服务年限计算，应依据矿井服务年限：T＝Z/(k·A)，应有储量备用系数K。</w:t>
            </w:r>
          </w:p>
          <w:p w14:paraId="3564E2ED">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01948433">
            <w:pPr>
              <w:numPr>
                <w:ilvl w:val="0"/>
                <w:numId w:val="0"/>
              </w:numPr>
              <w:autoSpaceDE/>
              <w:autoSpaceDN/>
              <w:snapToGrid/>
              <w:spacing w:before="0" w:after="0" w:line="360" w:lineRule="auto"/>
              <w:ind w:right="0" w:firstLine="480" w:firstLineChars="200"/>
              <w:jc w:val="left"/>
              <w:rPr>
                <w:rFonts w:hint="eastAsia" w:ascii="宋体" w:hAnsi="宋体" w:eastAsia="宋体"/>
                <w:color w:val="auto"/>
                <w:position w:val="0"/>
                <w:sz w:val="24"/>
                <w:szCs w:val="24"/>
                <w:lang w:val="en-US" w:eastAsia="zh-CN"/>
              </w:rPr>
            </w:pPr>
            <w:r>
              <w:rPr>
                <w:rFonts w:hint="eastAsia" w:ascii="宋体" w:hAnsi="宋体" w:eastAsia="宋体"/>
                <w:color w:val="auto"/>
                <w:position w:val="0"/>
                <w:sz w:val="24"/>
                <w:szCs w:val="24"/>
                <w:lang w:val="en-US" w:eastAsia="zh-CN"/>
              </w:rPr>
              <w:t>10、完善项目区土壤剖面图，应按土方复垦实物下完善剖面图，应达到有效层厚度。</w:t>
            </w:r>
          </w:p>
          <w:p w14:paraId="44969092">
            <w:pPr>
              <w:numPr>
                <w:ilvl w:val="0"/>
                <w:numId w:val="0"/>
              </w:numPr>
              <w:autoSpaceDE/>
              <w:autoSpaceDN/>
              <w:snapToGrid/>
              <w:spacing w:before="0" w:after="0" w:line="360" w:lineRule="auto"/>
              <w:ind w:right="0" w:firstLine="480" w:firstLineChars="200"/>
              <w:jc w:val="left"/>
              <w:rPr>
                <w:rFonts w:hint="default" w:ascii="宋体" w:hAnsi="宋体" w:eastAsia="宋体"/>
                <w:color w:val="auto"/>
                <w:position w:val="0"/>
                <w:sz w:val="24"/>
                <w:szCs w:val="24"/>
                <w:lang w:val="en-US" w:eastAsia="zh-CN"/>
              </w:rPr>
            </w:pPr>
            <w:r>
              <w:rPr>
                <w:rFonts w:hint="eastAsia" w:ascii="宋体" w:hAnsi="宋体" w:eastAsia="宋体"/>
                <w:color w:val="auto"/>
                <w:position w:val="0"/>
                <w:sz w:val="24"/>
                <w:szCs w:val="24"/>
                <w:lang w:val="en-US" w:eastAsia="zh-CN"/>
              </w:rPr>
              <w:t>已补充</w:t>
            </w:r>
            <w:bookmarkStart w:id="1" w:name="_GoBack"/>
            <w:bookmarkEnd w:id="1"/>
          </w:p>
          <w:p w14:paraId="252C94BC">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11、工程地质应与已批复开发利用方案一致。</w:t>
            </w:r>
          </w:p>
          <w:p w14:paraId="232ACE8D">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已修改</w:t>
            </w:r>
          </w:p>
          <w:p w14:paraId="7DB4F17F">
            <w:pPr>
              <w:numPr>
                <w:ilvl w:val="0"/>
                <w:numId w:val="0"/>
              </w:numPr>
              <w:autoSpaceDE/>
              <w:autoSpaceDN/>
              <w:snapToGrid/>
              <w:spacing w:before="0" w:after="0" w:line="360" w:lineRule="auto"/>
              <w:ind w:right="0" w:firstLine="480" w:firstLineChars="200"/>
              <w:jc w:val="left"/>
              <w:rPr>
                <w:rFonts w:hint="eastAsia" w:ascii="宋体" w:hAnsi="宋体" w:eastAsia="宋体"/>
                <w:color w:val="auto"/>
                <w:position w:val="0"/>
                <w:sz w:val="24"/>
                <w:szCs w:val="24"/>
                <w:lang w:val="en-US" w:eastAsia="zh-CN"/>
              </w:rPr>
            </w:pPr>
            <w:r>
              <w:rPr>
                <w:rFonts w:hint="eastAsia" w:ascii="宋体" w:hAnsi="宋体" w:eastAsia="宋体"/>
                <w:color w:val="auto"/>
                <w:position w:val="0"/>
                <w:sz w:val="24"/>
                <w:szCs w:val="24"/>
                <w:lang w:val="en-US" w:eastAsia="zh-CN"/>
              </w:rPr>
              <w:t>12、矿区及周边人类重大工程活动现生态修复方案要求的是：可能影响矿区生态修复目标方向、复垦修复标准、治理措施的人类工程活动。不是矿山生产对周边的影响。</w:t>
            </w:r>
          </w:p>
          <w:p w14:paraId="7A34A98A">
            <w:pPr>
              <w:numPr>
                <w:ilvl w:val="0"/>
                <w:numId w:val="0"/>
              </w:numPr>
              <w:autoSpaceDE/>
              <w:autoSpaceDN/>
              <w:snapToGrid/>
              <w:spacing w:before="0" w:after="0" w:line="360" w:lineRule="auto"/>
              <w:ind w:right="0" w:firstLine="480" w:firstLineChars="200"/>
              <w:jc w:val="left"/>
              <w:rPr>
                <w:rFonts w:hint="default" w:ascii="宋体" w:hAnsi="宋体" w:eastAsia="宋体"/>
                <w:color w:val="auto"/>
                <w:position w:val="0"/>
                <w:sz w:val="24"/>
                <w:szCs w:val="24"/>
                <w:lang w:val="en-US" w:eastAsia="zh-CN"/>
              </w:rPr>
            </w:pPr>
            <w:r>
              <w:rPr>
                <w:rFonts w:hint="eastAsia" w:ascii="宋体" w:hAnsi="宋体" w:eastAsia="宋体"/>
                <w:color w:val="auto"/>
                <w:position w:val="0"/>
                <w:sz w:val="24"/>
                <w:szCs w:val="24"/>
                <w:lang w:val="en-US" w:eastAsia="zh-CN"/>
              </w:rPr>
              <w:t>已修改</w:t>
            </w:r>
          </w:p>
          <w:p w14:paraId="2908DE87">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 xml:space="preserve">13、完善表 </w:t>
            </w:r>
            <w:r>
              <w:rPr>
                <w:rFonts w:hint="default" w:ascii="宋体" w:hAnsi="宋体" w:eastAsia="宋体"/>
                <w:color w:val="000000"/>
                <w:position w:val="0"/>
                <w:sz w:val="24"/>
                <w:szCs w:val="24"/>
                <w:lang w:val="en-US" w:eastAsia="zh-CN"/>
              </w:rPr>
              <w:t>2-3</w:t>
            </w:r>
            <w:r>
              <w:rPr>
                <w:rFonts w:hint="eastAsia" w:ascii="宋体" w:hAnsi="宋体" w:eastAsia="宋体"/>
                <w:color w:val="000000"/>
                <w:position w:val="0"/>
                <w:sz w:val="24"/>
                <w:szCs w:val="24"/>
                <w:lang w:val="en-US" w:eastAsia="zh-CN"/>
              </w:rPr>
              <w:t>、2-4，监测应根据《指南（临时）》样表</w:t>
            </w:r>
            <w:r>
              <w:rPr>
                <w:rFonts w:hint="default" w:ascii="宋体" w:hAnsi="宋体" w:eastAsia="宋体"/>
                <w:color w:val="000000"/>
                <w:position w:val="0"/>
                <w:sz w:val="24"/>
                <w:szCs w:val="24"/>
                <w:lang w:val="en-US" w:eastAsia="zh-CN"/>
              </w:rPr>
              <w:t>6--</w:t>
            </w:r>
            <w:r>
              <w:rPr>
                <w:rFonts w:hint="eastAsia" w:ascii="宋体" w:hAnsi="宋体" w:eastAsia="宋体"/>
                <w:color w:val="000000"/>
                <w:position w:val="0"/>
                <w:sz w:val="24"/>
                <w:szCs w:val="24"/>
                <w:lang w:val="en-US" w:eastAsia="zh-CN"/>
              </w:rPr>
              <w:t>按照《</w:t>
            </w:r>
            <w:r>
              <w:rPr>
                <w:rFonts w:hint="default" w:ascii="宋体" w:hAnsi="宋体" w:eastAsia="宋体"/>
                <w:color w:val="000000"/>
                <w:position w:val="0"/>
                <w:sz w:val="24"/>
                <w:szCs w:val="24"/>
                <w:lang w:val="en-US" w:eastAsia="zh-CN"/>
              </w:rPr>
              <w:t>GB/T43935-2024</w:t>
            </w:r>
            <w:r>
              <w:rPr>
                <w:rFonts w:hint="eastAsia" w:ascii="宋体" w:hAnsi="宋体" w:eastAsia="宋体"/>
                <w:color w:val="000000"/>
                <w:position w:val="0"/>
                <w:sz w:val="24"/>
                <w:szCs w:val="24"/>
                <w:lang w:val="en-US" w:eastAsia="zh-CN"/>
              </w:rPr>
              <w:t>矿山土地复垦与生态修复监测评价技术规范》要求，根据矿区实际情况确定监测对象、监测内容，明确监测指标及监测方法，与本方案无关的内容则不列入。</w:t>
            </w:r>
          </w:p>
          <w:p w14:paraId="25026A0F">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已修改</w:t>
            </w:r>
          </w:p>
          <w:p w14:paraId="3867B5D7">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highlight w:val="none"/>
                <w:lang w:val="en-US" w:eastAsia="zh-CN"/>
              </w:rPr>
            </w:pPr>
            <w:r>
              <w:rPr>
                <w:rFonts w:hint="eastAsia" w:ascii="宋体" w:hAnsi="宋体" w:eastAsia="宋体"/>
                <w:color w:val="000000"/>
                <w:position w:val="0"/>
                <w:sz w:val="24"/>
                <w:szCs w:val="24"/>
                <w:highlight w:val="none"/>
                <w:lang w:val="en-US" w:eastAsia="zh-CN"/>
              </w:rPr>
              <w:t>14、完善边开采、边修复的情况说明，应有具体的分区及时——分区图建议按不同是修复时段进行分区标注。</w:t>
            </w:r>
          </w:p>
          <w:p w14:paraId="002F7FCA">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highlight w:val="none"/>
                <w:lang w:val="en-US" w:eastAsia="zh-CN"/>
              </w:rPr>
            </w:pPr>
            <w:r>
              <w:rPr>
                <w:rFonts w:hint="eastAsia" w:ascii="宋体" w:hAnsi="宋体" w:eastAsia="宋体"/>
                <w:color w:val="000000"/>
                <w:position w:val="0"/>
                <w:sz w:val="24"/>
                <w:szCs w:val="24"/>
                <w:highlight w:val="none"/>
                <w:lang w:val="en-US" w:eastAsia="zh-CN"/>
              </w:rPr>
              <w:t>已修改</w:t>
            </w:r>
          </w:p>
          <w:p w14:paraId="7E967B6D">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highlight w:val="none"/>
                <w:lang w:val="en-US" w:eastAsia="zh-CN"/>
              </w:rPr>
            </w:pPr>
            <w:r>
              <w:rPr>
                <w:rFonts w:hint="eastAsia" w:ascii="宋体" w:hAnsi="宋体" w:eastAsia="宋体"/>
                <w:color w:val="000000"/>
                <w:position w:val="0"/>
                <w:sz w:val="24"/>
                <w:szCs w:val="24"/>
                <w:highlight w:val="none"/>
                <w:lang w:val="en-US" w:eastAsia="zh-CN"/>
              </w:rPr>
              <w:t>15、根据开采分区时段划分，完善表3-24说明，补充表土剥离及植物再利用的情况说明。</w:t>
            </w:r>
          </w:p>
          <w:p w14:paraId="510CF78E">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highlight w:val="none"/>
                <w:lang w:val="en-US" w:eastAsia="zh-CN"/>
              </w:rPr>
            </w:pPr>
            <w:r>
              <w:rPr>
                <w:rFonts w:hint="eastAsia" w:ascii="宋体" w:hAnsi="宋体" w:eastAsia="宋体"/>
                <w:color w:val="000000"/>
                <w:position w:val="0"/>
                <w:sz w:val="24"/>
                <w:szCs w:val="24"/>
                <w:highlight w:val="none"/>
                <w:lang w:val="en-US" w:eastAsia="zh-CN"/>
              </w:rPr>
              <w:t>已修改</w:t>
            </w:r>
          </w:p>
          <w:p w14:paraId="71043FAA">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16、复核复垦方向中农村道路，是否应恢复为农村路，改变地类应有权属单位意见。</w:t>
            </w:r>
          </w:p>
          <w:p w14:paraId="1C5947D1">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已修改</w:t>
            </w:r>
          </w:p>
          <w:p w14:paraId="54D16C89">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17、补充林地树种类情况说明，是否有珍稀植物等。</w:t>
            </w:r>
          </w:p>
          <w:p w14:paraId="5F694333">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已说明</w:t>
            </w:r>
          </w:p>
          <w:p w14:paraId="48BFA454">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18、P74敏感目标保护分析中，补充说明是否涉及河湖、库及其保护区范围。</w:t>
            </w:r>
          </w:p>
          <w:p w14:paraId="006880CF">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4574D8A9">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highlight w:val="none"/>
                <w:lang w:val="en-US" w:eastAsia="zh-CN"/>
              </w:rPr>
            </w:pPr>
            <w:bookmarkStart w:id="0" w:name="_Toc1289"/>
            <w:r>
              <w:rPr>
                <w:rFonts w:hint="eastAsia" w:ascii="宋体" w:hAnsi="宋体" w:eastAsia="宋体"/>
                <w:color w:val="000000"/>
                <w:position w:val="0"/>
                <w:sz w:val="24"/>
                <w:szCs w:val="24"/>
                <w:highlight w:val="none"/>
                <w:lang w:val="en-US" w:eastAsia="zh-CN"/>
              </w:rPr>
              <w:t>19、P74补充说明表土剥离利用方案编制及批复情况，并按方案说明利用情况完善表土剥离利用情况说明，表土存放时间最长应不超过3年，根据批复的表土剥离利用方案本方案此部分说明并复核土资源平衡分析。</w:t>
            </w:r>
          </w:p>
          <w:p w14:paraId="4E62F74E">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highlight w:val="none"/>
                <w:lang w:val="en-US" w:eastAsia="zh-CN"/>
              </w:rPr>
            </w:pPr>
            <w:r>
              <w:rPr>
                <w:rFonts w:hint="eastAsia" w:ascii="宋体" w:hAnsi="宋体" w:eastAsia="宋体"/>
                <w:color w:val="000000"/>
                <w:position w:val="0"/>
                <w:sz w:val="24"/>
                <w:szCs w:val="24"/>
                <w:highlight w:val="none"/>
                <w:lang w:val="en-US" w:eastAsia="zh-CN"/>
              </w:rPr>
              <w:t>已说明</w:t>
            </w:r>
          </w:p>
          <w:p w14:paraId="5A043409">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highlight w:val="none"/>
                <w:lang w:val="en-US" w:eastAsia="zh-CN"/>
              </w:rPr>
            </w:pPr>
            <w:r>
              <w:rPr>
                <w:rFonts w:hint="eastAsia" w:ascii="宋体" w:hAnsi="宋体" w:eastAsia="宋体"/>
                <w:color w:val="000000"/>
                <w:position w:val="0"/>
                <w:sz w:val="24"/>
                <w:szCs w:val="24"/>
                <w:highlight w:val="none"/>
                <w:lang w:val="en-US" w:eastAsia="zh-CN"/>
              </w:rPr>
              <w:t>20、因本方案涉及林地，补充植被移植利用的情况说明。</w:t>
            </w:r>
          </w:p>
          <w:p w14:paraId="6A9CA8EA">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highlight w:val="none"/>
                <w:lang w:val="en-US" w:eastAsia="zh-CN"/>
              </w:rPr>
            </w:pPr>
            <w:r>
              <w:rPr>
                <w:rFonts w:hint="eastAsia" w:ascii="宋体" w:hAnsi="宋体" w:eastAsia="宋体"/>
                <w:color w:val="000000"/>
                <w:position w:val="0"/>
                <w:sz w:val="24"/>
                <w:szCs w:val="24"/>
                <w:highlight w:val="none"/>
                <w:lang w:val="en-US" w:eastAsia="zh-CN"/>
              </w:rPr>
              <w:t>已补充</w:t>
            </w:r>
          </w:p>
          <w:p w14:paraId="30B63FDC">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 xml:space="preserve">21、完善工程措施设计，补充表土回覆面积的组成，各组成部分面积是多少，边坡处理由谁负责，达到什么标准，树穴规格是为 </w:t>
            </w:r>
            <w:r>
              <w:rPr>
                <w:rFonts w:hint="default" w:ascii="宋体" w:hAnsi="宋体" w:eastAsia="宋体"/>
                <w:color w:val="000000"/>
                <w:position w:val="0"/>
                <w:sz w:val="24"/>
                <w:szCs w:val="24"/>
                <w:lang w:val="en-US" w:eastAsia="zh-CN"/>
              </w:rPr>
              <w:t>0.5m*0.5m*0.5m</w:t>
            </w:r>
            <w:r>
              <w:rPr>
                <w:rFonts w:hint="eastAsia" w:ascii="宋体" w:hAnsi="宋体" w:eastAsia="宋体"/>
                <w:color w:val="000000"/>
                <w:position w:val="0"/>
                <w:sz w:val="24"/>
                <w:szCs w:val="24"/>
                <w:lang w:val="en-US" w:eastAsia="zh-CN"/>
              </w:rPr>
              <w:t>，覆土厚度30cm是否满足要求。说明共有几个平台，各平台长度、宽度，然后根据设计标准计算出相应的工程量。补充植槽及填土的工程量，另补充说明各平台是否设置排水沟。根据工程设计完善工程量计算过程。</w:t>
            </w:r>
          </w:p>
          <w:p w14:paraId="34C90233">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已修改并重新计算工程量</w:t>
            </w:r>
          </w:p>
          <w:p w14:paraId="5EBB62C9">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22、补充说明林地树木移出工程由谁负责。</w:t>
            </w:r>
          </w:p>
          <w:p w14:paraId="6F8B5A2B">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522067DF">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23、根据边开采、边修复措施复核P95实施计划。</w:t>
            </w:r>
          </w:p>
          <w:p w14:paraId="59283E3B">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已修改</w:t>
            </w:r>
          </w:p>
          <w:bookmarkEnd w:id="0"/>
          <w:p w14:paraId="71FF6DD8">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24、管护费用低，一般正常情况应为4000元左右。</w:t>
            </w:r>
          </w:p>
          <w:p w14:paraId="18044664">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已修改</w:t>
            </w:r>
          </w:p>
          <w:p w14:paraId="4CCB1827">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25、补充动态投资。</w:t>
            </w:r>
          </w:p>
          <w:p w14:paraId="3604EDD1">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210869D4">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26、附件中补充方案编用地协议、材料价格信息、表土剥离利用方案批复意见、权属单位意见（有争议的 两家均应有）、土壤检测报告、公众调查问卷、项目区现状照片、开发利用方案批复； 矿产资源储量核实报告、公众参与调查表</w:t>
            </w:r>
          </w:p>
          <w:p w14:paraId="07494EA7">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27、矿区生态修复方案编制信息表编制人员签字</w:t>
            </w:r>
          </w:p>
          <w:p w14:paraId="6383E4EE">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28、补充完善附件、附图。</w:t>
            </w:r>
          </w:p>
          <w:p w14:paraId="2BF65929">
            <w:pPr>
              <w:numPr>
                <w:ilvl w:val="0"/>
                <w:numId w:val="0"/>
              </w:numPr>
              <w:autoSpaceDE/>
              <w:autoSpaceDN/>
              <w:snapToGrid/>
              <w:spacing w:before="0" w:after="0" w:line="360" w:lineRule="auto"/>
              <w:ind w:right="0" w:firstLine="560" w:firstLineChars="200"/>
              <w:jc w:val="left"/>
              <w:rPr>
                <w:rFonts w:hint="default" w:ascii="Times New Roman" w:hAnsi="Times New Roman" w:eastAsia="仿宋" w:cs="仿宋"/>
                <w:color w:val="auto"/>
                <w:sz w:val="28"/>
                <w:lang w:val="en-US" w:eastAsia="zh-CN"/>
              </w:rPr>
            </w:pPr>
          </w:p>
        </w:tc>
      </w:tr>
    </w:tbl>
    <w:p w14:paraId="6D39954F">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sectPr>
      <w:pgSz w:w="11906" w:h="16838"/>
      <w:pgMar w:top="1383" w:right="1800" w:bottom="1383" w:left="1800" w:header="708" w:footer="708" w:gutter="0"/>
      <w:pgNumType w:fmt="decimal"/>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
  <w:rsids>
    <w:rsidRoot w:val="00000000"/>
    <w:rsid w:val="00C071A9"/>
    <w:rsid w:val="01CB6780"/>
    <w:rsid w:val="03761F84"/>
    <w:rsid w:val="04583A5F"/>
    <w:rsid w:val="08642090"/>
    <w:rsid w:val="1939235F"/>
    <w:rsid w:val="1A895A2E"/>
    <w:rsid w:val="1B721050"/>
    <w:rsid w:val="20FC3C98"/>
    <w:rsid w:val="241D645C"/>
    <w:rsid w:val="29EB5E27"/>
    <w:rsid w:val="2CEF2304"/>
    <w:rsid w:val="2ED173BC"/>
    <w:rsid w:val="2FDA460D"/>
    <w:rsid w:val="30C86320"/>
    <w:rsid w:val="36350933"/>
    <w:rsid w:val="37F82BA8"/>
    <w:rsid w:val="47314599"/>
    <w:rsid w:val="4B915CA6"/>
    <w:rsid w:val="4BA33F87"/>
    <w:rsid w:val="516278D2"/>
    <w:rsid w:val="52681B75"/>
    <w:rsid w:val="5503669C"/>
    <w:rsid w:val="5BBB1A7E"/>
    <w:rsid w:val="5DFB2606"/>
    <w:rsid w:val="6C8758C5"/>
    <w:rsid w:val="725D1D98"/>
    <w:rsid w:val="7524462B"/>
    <w:rsid w:val="77CC23A1"/>
    <w:rsid w:val="7A2F07CB"/>
  </w:rsids>
  <m:mathPr>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153" w:name="header"/>
    <w:lsdException w:qFormat="1" w:uiPriority="152"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qFormat="1" w:uiPriority="2"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154"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37"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8" w:semiHidden="0" w:name="Table Grid"/>
    <w:lsdException w:unhideWhenUsed="0" w:uiPriority="0" w:semiHidden="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wordWrap/>
      <w:autoSpaceDE/>
      <w:autoSpaceDN/>
    </w:pPr>
    <w:rPr>
      <w:rFonts w:ascii="Tahoma" w:hAnsi="Tahoma" w:eastAsia="Tahoma" w:cstheme="minorBidi"/>
      <w:w w:val="100"/>
      <w:sz w:val="20"/>
      <w:szCs w:val="20"/>
      <w:shd w:val="clear"/>
    </w:rPr>
  </w:style>
  <w:style w:type="paragraph" w:styleId="2">
    <w:name w:val="heading 1"/>
    <w:qFormat/>
    <w:uiPriority w:val="7"/>
    <w:pPr>
      <w:widowControl/>
      <w:wordWrap/>
      <w:autoSpaceDE/>
      <w:autoSpaceDN/>
      <w:jc w:val="both"/>
    </w:pPr>
    <w:rPr>
      <w:rFonts w:ascii="Calibri" w:hAnsi="Calibri" w:eastAsia="微软雅黑" w:cstheme="minorBidi"/>
      <w:w w:val="100"/>
      <w:sz w:val="28"/>
      <w:szCs w:val="28"/>
      <w:shd w:val="clear"/>
    </w:rPr>
  </w:style>
  <w:style w:type="paragraph" w:styleId="3">
    <w:name w:val="heading 2"/>
    <w:qFormat/>
    <w:uiPriority w:val="8"/>
    <w:pPr>
      <w:widowControl/>
      <w:wordWrap/>
      <w:autoSpaceDE/>
      <w:autoSpaceDN/>
      <w:jc w:val="both"/>
    </w:pPr>
    <w:rPr>
      <w:rFonts w:ascii="Calibri" w:hAnsi="Calibri" w:eastAsia="微软雅黑" w:cstheme="minorBidi"/>
      <w:w w:val="100"/>
      <w:sz w:val="21"/>
      <w:szCs w:val="21"/>
      <w:shd w:val="clear"/>
    </w:rPr>
  </w:style>
  <w:style w:type="paragraph" w:styleId="4">
    <w:name w:val="heading 3"/>
    <w:basedOn w:val="1"/>
    <w:next w:val="1"/>
    <w:qFormat/>
    <w:uiPriority w:val="9"/>
    <w:pPr>
      <w:widowControl/>
      <w:wordWrap/>
      <w:autoSpaceDE/>
      <w:autoSpaceDN/>
      <w:ind w:left="1000" w:hanging="400"/>
      <w:jc w:val="both"/>
    </w:pPr>
    <w:rPr>
      <w:rFonts w:ascii="Calibri" w:hAnsi="Calibri" w:eastAsia="微软雅黑" w:cstheme="minorBidi"/>
      <w:w w:val="100"/>
      <w:sz w:val="21"/>
      <w:szCs w:val="21"/>
      <w:shd w:val="clear"/>
    </w:rPr>
  </w:style>
  <w:style w:type="paragraph" w:styleId="5">
    <w:name w:val="heading 4"/>
    <w:qFormat/>
    <w:uiPriority w:val="10"/>
    <w:pPr>
      <w:widowControl/>
      <w:wordWrap/>
      <w:autoSpaceDE/>
      <w:autoSpaceDN/>
      <w:ind w:left="1200" w:hanging="400"/>
      <w:jc w:val="both"/>
    </w:pPr>
    <w:rPr>
      <w:rFonts w:ascii="Calibri" w:hAnsi="Calibri" w:eastAsia="微软雅黑" w:cstheme="minorBidi"/>
      <w:b/>
      <w:w w:val="100"/>
      <w:sz w:val="21"/>
      <w:szCs w:val="21"/>
      <w:shd w:val="clear"/>
    </w:rPr>
  </w:style>
  <w:style w:type="paragraph" w:styleId="6">
    <w:name w:val="heading 5"/>
    <w:qFormat/>
    <w:uiPriority w:val="11"/>
    <w:pPr>
      <w:widowControl/>
      <w:wordWrap/>
      <w:autoSpaceDE/>
      <w:autoSpaceDN/>
      <w:ind w:left="1400" w:hanging="400"/>
      <w:jc w:val="both"/>
    </w:pPr>
    <w:rPr>
      <w:rFonts w:ascii="Calibri" w:hAnsi="Calibri" w:eastAsia="微软雅黑" w:cstheme="minorBidi"/>
      <w:w w:val="100"/>
      <w:sz w:val="21"/>
      <w:szCs w:val="21"/>
      <w:shd w:val="clear"/>
    </w:rPr>
  </w:style>
  <w:style w:type="paragraph" w:styleId="7">
    <w:name w:val="heading 6"/>
    <w:qFormat/>
    <w:uiPriority w:val="12"/>
    <w:pPr>
      <w:widowControl/>
      <w:wordWrap/>
      <w:autoSpaceDE/>
      <w:autoSpaceDN/>
      <w:ind w:left="1600" w:hanging="400"/>
      <w:jc w:val="both"/>
    </w:pPr>
    <w:rPr>
      <w:rFonts w:ascii="Calibri" w:hAnsi="Calibri" w:eastAsia="微软雅黑" w:cstheme="minorBidi"/>
      <w:b/>
      <w:w w:val="100"/>
      <w:sz w:val="21"/>
      <w:szCs w:val="21"/>
      <w:shd w:val="clear"/>
    </w:rPr>
  </w:style>
  <w:style w:type="paragraph" w:styleId="8">
    <w:name w:val="heading 7"/>
    <w:qFormat/>
    <w:uiPriority w:val="13"/>
    <w:pPr>
      <w:widowControl/>
      <w:wordWrap/>
      <w:autoSpaceDE/>
      <w:autoSpaceDN/>
      <w:ind w:left="1800" w:hanging="400"/>
      <w:jc w:val="both"/>
    </w:pPr>
    <w:rPr>
      <w:rFonts w:ascii="Calibri" w:hAnsi="Calibri" w:eastAsia="微软雅黑" w:cstheme="minorBidi"/>
      <w:w w:val="100"/>
      <w:sz w:val="21"/>
      <w:szCs w:val="21"/>
      <w:shd w:val="clear"/>
    </w:rPr>
  </w:style>
  <w:style w:type="paragraph" w:styleId="9">
    <w:name w:val="heading 8"/>
    <w:qFormat/>
    <w:uiPriority w:val="14"/>
    <w:pPr>
      <w:widowControl/>
      <w:wordWrap/>
      <w:autoSpaceDE/>
      <w:autoSpaceDN/>
      <w:ind w:left="2000" w:hanging="400"/>
      <w:jc w:val="both"/>
    </w:pPr>
    <w:rPr>
      <w:rFonts w:ascii="Calibri" w:hAnsi="Calibri" w:eastAsia="微软雅黑" w:cstheme="minorBidi"/>
      <w:w w:val="100"/>
      <w:sz w:val="21"/>
      <w:szCs w:val="21"/>
      <w:shd w:val="clear"/>
    </w:rPr>
  </w:style>
  <w:style w:type="paragraph" w:styleId="10">
    <w:name w:val="heading 9"/>
    <w:qFormat/>
    <w:uiPriority w:val="15"/>
    <w:pPr>
      <w:widowControl/>
      <w:wordWrap/>
      <w:autoSpaceDE/>
      <w:autoSpaceDN/>
      <w:ind w:left="2200" w:hanging="400"/>
      <w:jc w:val="both"/>
    </w:pPr>
    <w:rPr>
      <w:rFonts w:ascii="Calibri" w:hAnsi="Calibri" w:eastAsia="微软雅黑" w:cstheme="minorBidi"/>
      <w:w w:val="100"/>
      <w:sz w:val="21"/>
      <w:szCs w:val="21"/>
      <w:shd w:val="clear"/>
    </w:rPr>
  </w:style>
  <w:style w:type="character" w:default="1" w:styleId="28">
    <w:name w:val="Default Paragraph Font"/>
    <w:semiHidden/>
    <w:unhideWhenUsed/>
    <w:qFormat/>
    <w:uiPriority w:val="2"/>
  </w:style>
  <w:style w:type="table" w:default="1" w:styleId="26">
    <w:name w:val="Normal Table"/>
    <w:qFormat/>
    <w:uiPriority w:val="37"/>
    <w:tblPr>
      <w:tblCellMar>
        <w:top w:w="0" w:type="dxa"/>
        <w:left w:w="108" w:type="dxa"/>
        <w:bottom w:w="0" w:type="dxa"/>
        <w:right w:w="108" w:type="dxa"/>
      </w:tblCellMar>
    </w:tblPr>
  </w:style>
  <w:style w:type="paragraph" w:styleId="11">
    <w:name w:val="toc 7"/>
    <w:unhideWhenUsed/>
    <w:qFormat/>
    <w:uiPriority w:val="34"/>
    <w:pPr>
      <w:widowControl/>
      <w:wordWrap/>
      <w:autoSpaceDE/>
      <w:autoSpaceDN/>
      <w:ind w:left="2550" w:firstLine="0"/>
      <w:jc w:val="both"/>
    </w:pPr>
    <w:rPr>
      <w:rFonts w:ascii="Calibri" w:hAnsi="Calibri" w:eastAsia="微软雅黑" w:cstheme="minorBidi"/>
      <w:w w:val="100"/>
      <w:sz w:val="21"/>
      <w:szCs w:val="21"/>
      <w:shd w:val="clear"/>
    </w:rPr>
  </w:style>
  <w:style w:type="paragraph" w:styleId="12">
    <w:name w:val="Body Text"/>
    <w:basedOn w:val="1"/>
    <w:qFormat/>
    <w:uiPriority w:val="0"/>
    <w:pPr>
      <w:spacing w:after="120" w:line="360" w:lineRule="auto"/>
      <w:ind w:firstLine="200" w:firstLineChars="200"/>
    </w:pPr>
    <w:rPr>
      <w:rFonts w:eastAsia="仿宋_GB2312"/>
      <w:sz w:val="28"/>
      <w:szCs w:val="28"/>
    </w:rPr>
  </w:style>
  <w:style w:type="paragraph" w:styleId="13">
    <w:name w:val="toc 5"/>
    <w:unhideWhenUsed/>
    <w:qFormat/>
    <w:uiPriority w:val="32"/>
    <w:pPr>
      <w:widowControl/>
      <w:wordWrap/>
      <w:autoSpaceDE/>
      <w:autoSpaceDN/>
      <w:ind w:left="1700" w:firstLine="0"/>
      <w:jc w:val="both"/>
    </w:pPr>
    <w:rPr>
      <w:rFonts w:ascii="Calibri" w:hAnsi="Calibri" w:eastAsia="微软雅黑" w:cstheme="minorBidi"/>
      <w:w w:val="100"/>
      <w:sz w:val="21"/>
      <w:szCs w:val="21"/>
      <w:shd w:val="clear"/>
    </w:rPr>
  </w:style>
  <w:style w:type="paragraph" w:styleId="14">
    <w:name w:val="toc 3"/>
    <w:unhideWhenUsed/>
    <w:qFormat/>
    <w:uiPriority w:val="30"/>
    <w:pPr>
      <w:widowControl/>
      <w:wordWrap/>
      <w:autoSpaceDE/>
      <w:autoSpaceDN/>
      <w:ind w:left="850" w:firstLine="0"/>
      <w:jc w:val="both"/>
    </w:pPr>
    <w:rPr>
      <w:rFonts w:ascii="Calibri" w:hAnsi="Calibri" w:eastAsia="微软雅黑" w:cstheme="minorBidi"/>
      <w:w w:val="100"/>
      <w:sz w:val="21"/>
      <w:szCs w:val="21"/>
      <w:shd w:val="clear"/>
    </w:rPr>
  </w:style>
  <w:style w:type="paragraph" w:styleId="15">
    <w:name w:val="toc 8"/>
    <w:unhideWhenUsed/>
    <w:qFormat/>
    <w:uiPriority w:val="35"/>
    <w:pPr>
      <w:widowControl/>
      <w:wordWrap/>
      <w:autoSpaceDE/>
      <w:autoSpaceDN/>
      <w:ind w:left="2975" w:firstLine="0"/>
      <w:jc w:val="both"/>
    </w:pPr>
    <w:rPr>
      <w:rFonts w:ascii="Calibri" w:hAnsi="Calibri" w:eastAsia="微软雅黑" w:cstheme="minorBidi"/>
      <w:w w:val="100"/>
      <w:sz w:val="21"/>
      <w:szCs w:val="21"/>
      <w:shd w:val="clear"/>
    </w:rPr>
  </w:style>
  <w:style w:type="paragraph" w:styleId="16">
    <w:name w:val="footer"/>
    <w:basedOn w:val="1"/>
    <w:link w:val="42"/>
    <w:semiHidden/>
    <w:unhideWhenUsed/>
    <w:qFormat/>
    <w:uiPriority w:val="152"/>
    <w:pPr>
      <w:widowControl/>
      <w:tabs>
        <w:tab w:val="center" w:pos="4153"/>
        <w:tab w:val="right" w:pos="8306"/>
      </w:tabs>
      <w:wordWrap/>
      <w:autoSpaceDE/>
      <w:autoSpaceDN/>
    </w:pPr>
    <w:rPr>
      <w:w w:val="100"/>
      <w:sz w:val="18"/>
      <w:szCs w:val="18"/>
      <w:shd w:val="clear"/>
    </w:rPr>
  </w:style>
  <w:style w:type="paragraph" w:styleId="17">
    <w:name w:val="header"/>
    <w:basedOn w:val="1"/>
    <w:link w:val="41"/>
    <w:semiHidden/>
    <w:unhideWhenUsed/>
    <w:qFormat/>
    <w:uiPriority w:val="153"/>
    <w:pPr>
      <w:widowControl/>
      <w:tabs>
        <w:tab w:val="center" w:pos="4153"/>
        <w:tab w:val="right" w:pos="8306"/>
      </w:tabs>
      <w:wordWrap/>
      <w:autoSpaceDE/>
      <w:autoSpaceDN/>
      <w:jc w:val="center"/>
    </w:pPr>
    <w:rPr>
      <w:w w:val="100"/>
      <w:sz w:val="18"/>
      <w:szCs w:val="18"/>
      <w:shd w:val="clear"/>
    </w:rPr>
  </w:style>
  <w:style w:type="paragraph" w:styleId="18">
    <w:name w:val="toc 1"/>
    <w:unhideWhenUsed/>
    <w:qFormat/>
    <w:uiPriority w:val="28"/>
    <w:pPr>
      <w:widowControl/>
      <w:wordWrap/>
      <w:autoSpaceDE/>
      <w:autoSpaceDN/>
      <w:jc w:val="both"/>
    </w:pPr>
    <w:rPr>
      <w:rFonts w:ascii="Calibri" w:hAnsi="Calibri" w:eastAsia="微软雅黑" w:cstheme="minorBidi"/>
      <w:w w:val="100"/>
      <w:sz w:val="21"/>
      <w:szCs w:val="21"/>
      <w:shd w:val="clear"/>
    </w:rPr>
  </w:style>
  <w:style w:type="paragraph" w:styleId="19">
    <w:name w:val="toc 4"/>
    <w:unhideWhenUsed/>
    <w:qFormat/>
    <w:uiPriority w:val="31"/>
    <w:pPr>
      <w:widowControl/>
      <w:wordWrap/>
      <w:autoSpaceDE/>
      <w:autoSpaceDN/>
      <w:ind w:left="1275" w:firstLine="0"/>
      <w:jc w:val="both"/>
    </w:pPr>
    <w:rPr>
      <w:rFonts w:ascii="Calibri" w:hAnsi="Calibri" w:eastAsia="微软雅黑" w:cstheme="minorBidi"/>
      <w:w w:val="100"/>
      <w:sz w:val="21"/>
      <w:szCs w:val="21"/>
      <w:shd w:val="clear"/>
    </w:rPr>
  </w:style>
  <w:style w:type="paragraph" w:styleId="20">
    <w:name w:val="Subtitle"/>
    <w:qFormat/>
    <w:uiPriority w:val="16"/>
    <w:pPr>
      <w:widowControl/>
      <w:wordWrap/>
      <w:autoSpaceDE/>
      <w:autoSpaceDN/>
      <w:jc w:val="center"/>
    </w:pPr>
    <w:rPr>
      <w:rFonts w:ascii="Calibri" w:hAnsi="Calibri" w:eastAsia="微软雅黑" w:cstheme="minorBidi"/>
      <w:w w:val="100"/>
      <w:sz w:val="24"/>
      <w:szCs w:val="24"/>
      <w:shd w:val="clear"/>
    </w:rPr>
  </w:style>
  <w:style w:type="paragraph" w:styleId="21">
    <w:name w:val="toc 6"/>
    <w:unhideWhenUsed/>
    <w:qFormat/>
    <w:uiPriority w:val="33"/>
    <w:pPr>
      <w:widowControl/>
      <w:wordWrap/>
      <w:autoSpaceDE/>
      <w:autoSpaceDN/>
      <w:ind w:left="2125" w:firstLine="0"/>
      <w:jc w:val="both"/>
    </w:pPr>
    <w:rPr>
      <w:rFonts w:ascii="Calibri" w:hAnsi="Calibri" w:eastAsia="微软雅黑" w:cstheme="minorBidi"/>
      <w:w w:val="100"/>
      <w:sz w:val="21"/>
      <w:szCs w:val="21"/>
      <w:shd w:val="clear"/>
    </w:rPr>
  </w:style>
  <w:style w:type="paragraph" w:styleId="22">
    <w:name w:val="toc 2"/>
    <w:unhideWhenUsed/>
    <w:qFormat/>
    <w:uiPriority w:val="29"/>
    <w:pPr>
      <w:widowControl/>
      <w:wordWrap/>
      <w:autoSpaceDE/>
      <w:autoSpaceDN/>
      <w:ind w:left="425" w:firstLine="0"/>
      <w:jc w:val="both"/>
    </w:pPr>
    <w:rPr>
      <w:rFonts w:ascii="Calibri" w:hAnsi="Calibri" w:eastAsia="微软雅黑" w:cstheme="minorBidi"/>
      <w:w w:val="100"/>
      <w:sz w:val="21"/>
      <w:szCs w:val="21"/>
      <w:shd w:val="clear"/>
    </w:rPr>
  </w:style>
  <w:style w:type="paragraph" w:styleId="23">
    <w:name w:val="toc 9"/>
    <w:unhideWhenUsed/>
    <w:qFormat/>
    <w:uiPriority w:val="36"/>
    <w:pPr>
      <w:widowControl/>
      <w:wordWrap/>
      <w:autoSpaceDE/>
      <w:autoSpaceDN/>
      <w:ind w:left="3400" w:firstLine="0"/>
      <w:jc w:val="both"/>
    </w:pPr>
    <w:rPr>
      <w:rFonts w:ascii="Calibri" w:hAnsi="Calibri" w:eastAsia="微软雅黑" w:cstheme="minorBidi"/>
      <w:w w:val="100"/>
      <w:sz w:val="21"/>
      <w:szCs w:val="21"/>
      <w:shd w:val="clear"/>
    </w:rPr>
  </w:style>
  <w:style w:type="paragraph" w:styleId="24">
    <w:name w:val="Normal (Web)"/>
    <w:basedOn w:val="1"/>
    <w:unhideWhenUsed/>
    <w:qFormat/>
    <w:uiPriority w:val="154"/>
    <w:pPr>
      <w:widowControl/>
      <w:wordWrap/>
      <w:autoSpaceDE/>
      <w:autoSpaceDN/>
    </w:pPr>
    <w:rPr>
      <w:rFonts w:ascii="宋体" w:hAnsi="宋体" w:eastAsia="宋体"/>
      <w:w w:val="100"/>
      <w:sz w:val="24"/>
      <w:szCs w:val="24"/>
      <w:shd w:val="clear"/>
    </w:rPr>
  </w:style>
  <w:style w:type="paragraph" w:styleId="25">
    <w:name w:val="Title"/>
    <w:qFormat/>
    <w:uiPriority w:val="6"/>
    <w:pPr>
      <w:widowControl/>
      <w:wordWrap/>
      <w:autoSpaceDE/>
      <w:autoSpaceDN/>
      <w:jc w:val="center"/>
    </w:pPr>
    <w:rPr>
      <w:rFonts w:ascii="Calibri" w:hAnsi="Calibri" w:eastAsia="微软雅黑" w:cstheme="minorBidi"/>
      <w:b/>
      <w:w w:val="100"/>
      <w:sz w:val="32"/>
      <w:szCs w:val="32"/>
      <w:shd w:val="clear"/>
    </w:rPr>
  </w:style>
  <w:style w:type="table" w:styleId="27">
    <w:name w:val="Table Grid"/>
    <w:basedOn w:val="26"/>
    <w:qFormat/>
    <w:uiPriority w:val="3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0"/>
    <w:rPr>
      <w:b/>
      <w:w w:val="100"/>
      <w:sz w:val="21"/>
      <w:szCs w:val="21"/>
      <w:shd w:val="clear"/>
    </w:rPr>
  </w:style>
  <w:style w:type="character" w:styleId="30">
    <w:name w:val="Emphasis"/>
    <w:qFormat/>
    <w:uiPriority w:val="18"/>
    <w:rPr>
      <w:i/>
      <w:w w:val="100"/>
      <w:sz w:val="21"/>
      <w:szCs w:val="21"/>
      <w:shd w:val="clear"/>
    </w:rPr>
  </w:style>
  <w:style w:type="paragraph" w:styleId="31">
    <w:name w:val="No Spacing"/>
    <w:qFormat/>
    <w:uiPriority w:val="5"/>
    <w:pPr>
      <w:widowControl/>
      <w:wordWrap/>
      <w:autoSpaceDE/>
      <w:autoSpaceDN/>
      <w:jc w:val="both"/>
    </w:pPr>
    <w:rPr>
      <w:rFonts w:ascii="Calibri" w:hAnsi="Calibri" w:eastAsia="微软雅黑" w:cstheme="minorBidi"/>
      <w:w w:val="100"/>
      <w:sz w:val="21"/>
      <w:szCs w:val="21"/>
      <w:shd w:val="clear"/>
    </w:rPr>
  </w:style>
  <w:style w:type="character" w:customStyle="1" w:styleId="32">
    <w:name w:val="Subtle Emphasis"/>
    <w:qFormat/>
    <w:uiPriority w:val="17"/>
    <w:rPr>
      <w:i/>
      <w:color w:val="404040"/>
      <w:w w:val="100"/>
      <w:sz w:val="21"/>
      <w:szCs w:val="21"/>
      <w:shd w:val="clear"/>
    </w:rPr>
  </w:style>
  <w:style w:type="character" w:customStyle="1" w:styleId="33">
    <w:name w:val="Intense Emphasis"/>
    <w:qFormat/>
    <w:uiPriority w:val="19"/>
    <w:rPr>
      <w:i/>
      <w:color w:val="5B9BD5"/>
      <w:w w:val="100"/>
      <w:sz w:val="21"/>
      <w:szCs w:val="21"/>
      <w:shd w:val="clear"/>
    </w:rPr>
  </w:style>
  <w:style w:type="paragraph" w:styleId="34">
    <w:name w:val="Quote"/>
    <w:qFormat/>
    <w:uiPriority w:val="21"/>
    <w:pPr>
      <w:widowControl/>
      <w:wordWrap/>
      <w:autoSpaceDE/>
      <w:autoSpaceDN/>
      <w:ind w:left="864" w:right="864" w:firstLine="0"/>
      <w:jc w:val="center"/>
    </w:pPr>
    <w:rPr>
      <w:rFonts w:ascii="Calibri" w:hAnsi="Calibri" w:eastAsia="微软雅黑" w:cstheme="minorBidi"/>
      <w:i/>
      <w:color w:val="404040"/>
      <w:w w:val="100"/>
      <w:sz w:val="21"/>
      <w:szCs w:val="21"/>
      <w:shd w:val="clear"/>
    </w:rPr>
  </w:style>
  <w:style w:type="paragraph" w:styleId="35">
    <w:name w:val="Intense Quote"/>
    <w:qFormat/>
    <w:uiPriority w:val="22"/>
    <w:pPr>
      <w:widowControl/>
      <w:wordWrap/>
      <w:autoSpaceDE/>
      <w:autoSpaceDN/>
      <w:ind w:left="950" w:right="950" w:firstLine="0"/>
      <w:jc w:val="center"/>
    </w:pPr>
    <w:rPr>
      <w:rFonts w:ascii="Calibri" w:hAnsi="Calibri" w:eastAsia="微软雅黑" w:cstheme="minorBidi"/>
      <w:i/>
      <w:color w:val="5B9BD5"/>
      <w:w w:val="100"/>
      <w:sz w:val="21"/>
      <w:szCs w:val="21"/>
      <w:shd w:val="clear"/>
    </w:rPr>
  </w:style>
  <w:style w:type="character" w:customStyle="1" w:styleId="36">
    <w:name w:val="Subtle Reference"/>
    <w:qFormat/>
    <w:uiPriority w:val="23"/>
    <w:rPr>
      <w:smallCaps/>
      <w:color w:val="5A5A5A"/>
      <w:w w:val="100"/>
      <w:sz w:val="21"/>
      <w:szCs w:val="21"/>
      <w:shd w:val="clear"/>
    </w:rPr>
  </w:style>
  <w:style w:type="character" w:customStyle="1" w:styleId="37">
    <w:name w:val="Intense Reference"/>
    <w:qFormat/>
    <w:uiPriority w:val="24"/>
    <w:rPr>
      <w:b/>
      <w:smallCaps/>
      <w:color w:val="5B9BD5"/>
      <w:w w:val="100"/>
      <w:sz w:val="21"/>
      <w:szCs w:val="21"/>
      <w:shd w:val="clear"/>
    </w:rPr>
  </w:style>
  <w:style w:type="character" w:customStyle="1" w:styleId="38">
    <w:name w:val="Book Title"/>
    <w:qFormat/>
    <w:uiPriority w:val="25"/>
    <w:rPr>
      <w:b/>
      <w:i/>
      <w:w w:val="100"/>
      <w:sz w:val="21"/>
      <w:szCs w:val="21"/>
      <w:shd w:val="clear"/>
    </w:rPr>
  </w:style>
  <w:style w:type="paragraph" w:styleId="39">
    <w:name w:val="List Paragraph"/>
    <w:qFormat/>
    <w:uiPriority w:val="26"/>
    <w:pPr>
      <w:widowControl/>
      <w:wordWrap/>
      <w:autoSpaceDE/>
      <w:autoSpaceDN/>
      <w:ind w:left="850" w:firstLine="0"/>
      <w:jc w:val="both"/>
    </w:pPr>
    <w:rPr>
      <w:rFonts w:ascii="Calibri" w:hAnsi="Calibri" w:eastAsia="微软雅黑" w:cstheme="minorBidi"/>
      <w:w w:val="100"/>
      <w:sz w:val="21"/>
      <w:szCs w:val="21"/>
      <w:shd w:val="clear"/>
    </w:rPr>
  </w:style>
  <w:style w:type="paragraph" w:customStyle="1" w:styleId="40">
    <w:name w:val="TOC Heading"/>
    <w:unhideWhenUsed/>
    <w:qFormat/>
    <w:uiPriority w:val="27"/>
    <w:pPr>
      <w:widowControl/>
      <w:wordWrap/>
      <w:autoSpaceDE/>
      <w:autoSpaceDN/>
    </w:pPr>
    <w:rPr>
      <w:rFonts w:ascii="Calibri" w:hAnsi="Calibri" w:eastAsia="微软雅黑" w:cstheme="minorBidi"/>
      <w:color w:val="2E74B5"/>
      <w:w w:val="100"/>
      <w:sz w:val="32"/>
      <w:szCs w:val="32"/>
      <w:shd w:val="clear"/>
    </w:rPr>
  </w:style>
  <w:style w:type="character" w:customStyle="1" w:styleId="41">
    <w:name w:val="页眉 Char"/>
    <w:basedOn w:val="28"/>
    <w:link w:val="17"/>
    <w:semiHidden/>
    <w:qFormat/>
    <w:uiPriority w:val="155"/>
    <w:rPr>
      <w:rFonts w:ascii="Tahoma" w:hAnsi="Tahoma" w:eastAsia="Tahoma"/>
      <w:w w:val="100"/>
      <w:sz w:val="18"/>
      <w:szCs w:val="18"/>
      <w:shd w:val="clear"/>
    </w:rPr>
  </w:style>
  <w:style w:type="character" w:customStyle="1" w:styleId="42">
    <w:name w:val="页脚 Char"/>
    <w:basedOn w:val="28"/>
    <w:link w:val="16"/>
    <w:semiHidden/>
    <w:qFormat/>
    <w:uiPriority w:val="156"/>
    <w:rPr>
      <w:rFonts w:ascii="Tahoma" w:hAnsi="Tahoma" w:eastAsia="Tahoma"/>
      <w:w w:val="100"/>
      <w:sz w:val="18"/>
      <w:szCs w:val="18"/>
      <w:shd w:val="cle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1446</Words>
  <Characters>1516</Characters>
  <Lines>9</Lines>
  <Paragraphs>2</Paragraphs>
  <TotalTime>90</TotalTime>
  <ScaleCrop>false</ScaleCrop>
  <LinksUpToDate>false</LinksUpToDate>
  <CharactersWithSpaces>1520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2026-03-21T07:38:00Z</dcterms:created>
  <dc:creator>user</dc:creator>
  <cp:lastModifiedBy>蹉跎</cp:lastModifiedBy>
  <dcterms:modified xsi:type="dcterms:W3CDTF">2026-08-09T12:46:41Z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A65A699AB8BE4112BB698336177D78B4_13</vt:lpwstr>
  </property>
  <property fmtid="{D5CDD505-2E9C-101B-9397-08002B2CF9AE}" pid="4" name="KSOTemplateDocerSaveRecord">
    <vt:lpwstr>eyJoZGlkIjoiYzRlZDM2OTQ5ZGNhNTczNDdjOTllYjdiOGMxYTRkZTMiLCJ1c2VySWQiOiI0OTU3ODgxOTYifQ==</vt:lpwstr>
  </property>
</Properties>
</file>