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9089A04">
      <w:pPr>
        <w:numPr>
          <w:ilvl w:val="0"/>
          <w:numId w:val="0"/>
        </w:numPr>
        <w:autoSpaceDE/>
        <w:autoSpaceDN/>
        <w:snapToGrid/>
        <w:spacing w:before="0" w:after="0" w:line="240" w:lineRule="auto"/>
        <w:ind w:right="0" w:firstLine="0"/>
        <w:jc w:val="center"/>
        <w:rPr>
          <w:rFonts w:hint="default" w:ascii="Calibri" w:hAnsi="宋体" w:eastAsia="宋体"/>
          <w:color w:val="auto"/>
          <w:position w:val="0"/>
          <w:sz w:val="21"/>
          <w:szCs w:val="21"/>
        </w:rPr>
      </w:pPr>
      <w:r>
        <w:rPr>
          <w:rFonts w:hint="eastAsia" w:ascii="黑体" w:hAnsi="黑体" w:eastAsia="黑体"/>
          <w:color w:val="auto"/>
          <w:position w:val="0"/>
          <w:sz w:val="36"/>
          <w:szCs w:val="36"/>
          <w:lang w:eastAsia="zh-CN"/>
        </w:rPr>
        <w:t>专家</w:t>
      </w:r>
      <w:r>
        <w:rPr>
          <w:rFonts w:hint="default" w:ascii="黑体" w:hAnsi="黑体" w:eastAsia="黑体"/>
          <w:color w:val="auto"/>
          <w:position w:val="0"/>
          <w:sz w:val="36"/>
          <w:szCs w:val="36"/>
        </w:rPr>
        <w:t>评审意见</w:t>
      </w:r>
    </w:p>
    <w:tbl>
      <w:tblPr>
        <w:tblStyle w:val="26"/>
        <w:tblW w:w="9769" w:type="dxa"/>
        <w:jc w:val="center"/>
        <w:tblLayout w:type="fixed"/>
        <w:tblCellMar>
          <w:top w:w="0" w:type="dxa"/>
          <w:left w:w="0" w:type="dxa"/>
          <w:bottom w:w="0" w:type="dxa"/>
          <w:right w:w="0" w:type="dxa"/>
        </w:tblCellMar>
      </w:tblPr>
      <w:tblGrid>
        <w:gridCol w:w="1847"/>
        <w:gridCol w:w="1654"/>
        <w:gridCol w:w="2577"/>
        <w:gridCol w:w="3691"/>
      </w:tblGrid>
      <w:tr w14:paraId="260E2645">
        <w:tblPrEx>
          <w:tblCellMar>
            <w:top w:w="0" w:type="dxa"/>
            <w:left w:w="0" w:type="dxa"/>
            <w:bottom w:w="0" w:type="dxa"/>
            <w:right w:w="0" w:type="dxa"/>
          </w:tblCellMar>
        </w:tblPrEx>
        <w:trPr>
          <w:trHeight w:val="442" w:hRule="atLeast"/>
          <w:jc w:val="center"/>
        </w:trPr>
        <w:tc>
          <w:tcPr>
            <w:tcW w:w="1847" w:type="dxa"/>
            <w:tcBorders>
              <w:top w:val="single" w:color="000000" w:sz="4" w:space="0"/>
              <w:left w:val="single" w:color="000000" w:sz="4" w:space="0"/>
              <w:bottom w:val="single" w:color="000000" w:sz="4" w:space="0"/>
              <w:right w:val="single" w:color="000000" w:sz="4" w:space="0"/>
            </w:tcBorders>
            <w:tcMar>
              <w:left w:w="108" w:type="dxa"/>
              <w:right w:w="108" w:type="dxa"/>
            </w:tcMar>
            <w:vAlign w:val="center"/>
          </w:tcPr>
          <w:p w14:paraId="743622E6">
            <w:pPr>
              <w:numPr>
                <w:ilvl w:val="0"/>
                <w:numId w:val="0"/>
              </w:numPr>
              <w:autoSpaceDE/>
              <w:autoSpaceDN/>
              <w:snapToGrid/>
              <w:spacing w:before="0" w:after="0" w:line="240" w:lineRule="auto"/>
              <w:ind w:right="0" w:firstLine="0"/>
              <w:jc w:val="center"/>
              <w:rPr>
                <w:rFonts w:hint="default" w:ascii="宋体" w:hAnsi="宋体" w:eastAsia="宋体"/>
                <w:color w:val="auto"/>
                <w:position w:val="0"/>
                <w:sz w:val="24"/>
                <w:szCs w:val="24"/>
              </w:rPr>
            </w:pPr>
            <w:r>
              <w:rPr>
                <w:rFonts w:hint="eastAsia" w:ascii="宋体" w:hAnsi="宋体" w:eastAsia="宋体"/>
                <w:color w:val="000000"/>
                <w:position w:val="0"/>
                <w:sz w:val="24"/>
                <w:szCs w:val="24"/>
                <w:lang w:eastAsia="zh-CN"/>
              </w:rPr>
              <w:t>项目</w:t>
            </w:r>
            <w:r>
              <w:rPr>
                <w:rFonts w:hint="default" w:ascii="宋体" w:hAnsi="宋体" w:eastAsia="宋体"/>
                <w:color w:val="000000"/>
                <w:position w:val="0"/>
                <w:sz w:val="24"/>
                <w:szCs w:val="24"/>
              </w:rPr>
              <w:t>名称</w:t>
            </w:r>
          </w:p>
        </w:tc>
        <w:tc>
          <w:tcPr>
            <w:tcW w:w="7922" w:type="dxa"/>
            <w:gridSpan w:val="3"/>
            <w:tcBorders>
              <w:top w:val="single" w:color="000000" w:sz="4" w:space="0"/>
              <w:left w:val="single" w:color="000000" w:sz="4" w:space="0"/>
              <w:bottom w:val="single" w:color="000000" w:sz="4" w:space="0"/>
              <w:right w:val="single" w:color="000000" w:sz="4" w:space="0"/>
            </w:tcBorders>
            <w:tcMar>
              <w:left w:w="108" w:type="dxa"/>
              <w:right w:w="108" w:type="dxa"/>
            </w:tcMar>
            <w:vAlign w:val="center"/>
          </w:tcPr>
          <w:p w14:paraId="0FE5A736">
            <w:pPr>
              <w:numPr>
                <w:ilvl w:val="0"/>
                <w:numId w:val="0"/>
              </w:numPr>
              <w:autoSpaceDE/>
              <w:autoSpaceDN/>
              <w:snapToGrid/>
              <w:spacing w:before="0" w:after="0" w:line="240" w:lineRule="auto"/>
              <w:ind w:right="0" w:firstLine="0"/>
              <w:jc w:val="both"/>
              <w:rPr>
                <w:rFonts w:hint="default" w:ascii="宋体" w:hAnsi="宋体" w:eastAsia="宋体"/>
                <w:color w:val="auto"/>
                <w:position w:val="0"/>
                <w:sz w:val="24"/>
                <w:szCs w:val="24"/>
              </w:rPr>
            </w:pPr>
            <w:r>
              <w:rPr>
                <w:rFonts w:hint="eastAsia" w:ascii="宋体" w:hAnsi="宋体" w:eastAsia="宋体"/>
                <w:color w:val="000000"/>
                <w:position w:val="0"/>
                <w:sz w:val="24"/>
                <w:szCs w:val="24"/>
                <w:lang w:val="en-US" w:eastAsia="zh-CN"/>
              </w:rPr>
              <w:t>鸡东县哈达镇青山村采石场矿区生态修复方案</w:t>
            </w:r>
          </w:p>
        </w:tc>
      </w:tr>
      <w:tr w14:paraId="6D05D6E3">
        <w:tblPrEx>
          <w:tblCellMar>
            <w:top w:w="0" w:type="dxa"/>
            <w:left w:w="0" w:type="dxa"/>
            <w:bottom w:w="0" w:type="dxa"/>
            <w:right w:w="0" w:type="dxa"/>
          </w:tblCellMar>
        </w:tblPrEx>
        <w:trPr>
          <w:trHeight w:val="422" w:hRule="atLeast"/>
          <w:jc w:val="center"/>
        </w:trPr>
        <w:tc>
          <w:tcPr>
            <w:tcW w:w="1847" w:type="dxa"/>
            <w:tcBorders>
              <w:top w:val="single" w:color="000000" w:sz="4" w:space="0"/>
              <w:left w:val="single" w:color="000000" w:sz="4" w:space="0"/>
              <w:bottom w:val="single" w:color="000000" w:sz="4" w:space="0"/>
              <w:right w:val="single" w:color="000000" w:sz="4" w:space="0"/>
            </w:tcBorders>
            <w:tcMar>
              <w:left w:w="108" w:type="dxa"/>
              <w:right w:w="108" w:type="dxa"/>
            </w:tcMar>
            <w:vAlign w:val="center"/>
          </w:tcPr>
          <w:p w14:paraId="24087C35">
            <w:pPr>
              <w:numPr>
                <w:ilvl w:val="0"/>
                <w:numId w:val="0"/>
              </w:numPr>
              <w:autoSpaceDE/>
              <w:autoSpaceDN/>
              <w:snapToGrid/>
              <w:spacing w:before="0" w:after="0" w:line="240" w:lineRule="auto"/>
              <w:ind w:right="0" w:firstLine="0"/>
              <w:jc w:val="center"/>
              <w:rPr>
                <w:rFonts w:hint="default" w:ascii="宋体" w:hAnsi="宋体" w:eastAsia="宋体"/>
                <w:color w:val="auto"/>
                <w:position w:val="0"/>
                <w:sz w:val="24"/>
                <w:szCs w:val="24"/>
              </w:rPr>
            </w:pPr>
            <w:r>
              <w:rPr>
                <w:rFonts w:hint="eastAsia" w:ascii="宋体" w:hAnsi="宋体" w:eastAsia="宋体"/>
                <w:color w:val="000000"/>
                <w:position w:val="0"/>
                <w:sz w:val="24"/>
                <w:szCs w:val="24"/>
                <w:lang w:eastAsia="zh-CN"/>
              </w:rPr>
              <w:t>方案编制</w:t>
            </w:r>
            <w:r>
              <w:rPr>
                <w:rFonts w:hint="default" w:ascii="宋体" w:hAnsi="宋体" w:eastAsia="宋体"/>
                <w:color w:val="000000"/>
                <w:position w:val="0"/>
                <w:sz w:val="24"/>
                <w:szCs w:val="24"/>
              </w:rPr>
              <w:t>单位</w:t>
            </w:r>
          </w:p>
        </w:tc>
        <w:tc>
          <w:tcPr>
            <w:tcW w:w="7922" w:type="dxa"/>
            <w:gridSpan w:val="3"/>
            <w:tcBorders>
              <w:top w:val="single" w:color="000000" w:sz="4" w:space="0"/>
              <w:left w:val="single" w:color="000000" w:sz="4" w:space="0"/>
              <w:bottom w:val="single" w:color="000000" w:sz="4" w:space="0"/>
              <w:right w:val="single" w:color="000000" w:sz="4" w:space="0"/>
            </w:tcBorders>
            <w:tcMar>
              <w:left w:w="108" w:type="dxa"/>
              <w:right w:w="108" w:type="dxa"/>
            </w:tcMar>
            <w:vAlign w:val="center"/>
          </w:tcPr>
          <w:p w14:paraId="4BDDD0EC">
            <w:pPr>
              <w:numPr>
                <w:ilvl w:val="0"/>
                <w:numId w:val="0"/>
              </w:numPr>
              <w:autoSpaceDE/>
              <w:autoSpaceDN/>
              <w:snapToGrid/>
              <w:spacing w:before="0" w:after="0" w:line="240" w:lineRule="auto"/>
              <w:ind w:right="0" w:firstLine="0"/>
              <w:jc w:val="both"/>
              <w:rPr>
                <w:rFonts w:hint="default" w:ascii="宋体" w:hAnsi="宋体" w:eastAsia="宋体"/>
                <w:color w:val="auto"/>
                <w:position w:val="0"/>
                <w:sz w:val="24"/>
                <w:szCs w:val="24"/>
              </w:rPr>
            </w:pPr>
            <w:r>
              <w:rPr>
                <w:rFonts w:hint="eastAsia" w:ascii="宋体" w:hAnsi="宋体" w:eastAsia="宋体"/>
                <w:color w:val="000000"/>
                <w:position w:val="0"/>
                <w:sz w:val="24"/>
                <w:szCs w:val="24"/>
                <w:lang w:val="en-US" w:eastAsia="zh-CN"/>
              </w:rPr>
              <w:t>黑龙江省平川土地整理工程有限公司</w:t>
            </w:r>
          </w:p>
        </w:tc>
      </w:tr>
      <w:tr w14:paraId="0D3067D4">
        <w:tblPrEx>
          <w:tblCellMar>
            <w:top w:w="0" w:type="dxa"/>
            <w:left w:w="0" w:type="dxa"/>
            <w:bottom w:w="0" w:type="dxa"/>
            <w:right w:w="0" w:type="dxa"/>
          </w:tblCellMar>
        </w:tblPrEx>
        <w:trPr>
          <w:trHeight w:val="463" w:hRule="atLeast"/>
          <w:jc w:val="center"/>
        </w:trPr>
        <w:tc>
          <w:tcPr>
            <w:tcW w:w="1847" w:type="dxa"/>
            <w:tcBorders>
              <w:top w:val="single" w:color="000000" w:sz="4" w:space="0"/>
              <w:left w:val="single" w:color="000000" w:sz="4" w:space="0"/>
              <w:bottom w:val="single" w:color="000000" w:sz="4" w:space="0"/>
              <w:right w:val="single" w:color="000000" w:sz="4" w:space="0"/>
            </w:tcBorders>
            <w:tcMar>
              <w:left w:w="108" w:type="dxa"/>
              <w:right w:w="108" w:type="dxa"/>
            </w:tcMar>
            <w:vAlign w:val="center"/>
          </w:tcPr>
          <w:p w14:paraId="458DCB70">
            <w:pPr>
              <w:numPr>
                <w:ilvl w:val="0"/>
                <w:numId w:val="0"/>
              </w:numPr>
              <w:autoSpaceDE/>
              <w:autoSpaceDN/>
              <w:snapToGrid/>
              <w:spacing w:before="0" w:after="0" w:line="240" w:lineRule="auto"/>
              <w:ind w:right="0" w:firstLine="0"/>
              <w:jc w:val="center"/>
              <w:rPr>
                <w:rFonts w:hint="default" w:ascii="宋体" w:hAnsi="宋体" w:eastAsia="宋体"/>
                <w:color w:val="auto"/>
                <w:position w:val="0"/>
                <w:sz w:val="24"/>
                <w:szCs w:val="24"/>
              </w:rPr>
            </w:pPr>
            <w:r>
              <w:rPr>
                <w:rFonts w:hint="eastAsia" w:ascii="宋体" w:hAnsi="宋体" w:eastAsia="宋体"/>
                <w:color w:val="000000"/>
                <w:position w:val="0"/>
                <w:sz w:val="24"/>
                <w:szCs w:val="24"/>
                <w:lang w:eastAsia="zh-CN"/>
              </w:rPr>
              <w:t>专家姓名</w:t>
            </w:r>
          </w:p>
        </w:tc>
        <w:tc>
          <w:tcPr>
            <w:tcW w:w="1654" w:type="dxa"/>
            <w:tcBorders>
              <w:top w:val="single" w:color="000000" w:sz="4" w:space="0"/>
              <w:left w:val="single" w:color="000000" w:sz="4" w:space="0"/>
              <w:bottom w:val="single" w:color="000000" w:sz="4" w:space="0"/>
              <w:right w:val="single" w:color="000000" w:sz="4" w:space="0"/>
            </w:tcBorders>
            <w:tcMar>
              <w:left w:w="108" w:type="dxa"/>
              <w:right w:w="108" w:type="dxa"/>
            </w:tcMar>
            <w:vAlign w:val="center"/>
          </w:tcPr>
          <w:p w14:paraId="10B8AC75">
            <w:pPr>
              <w:numPr>
                <w:ilvl w:val="0"/>
                <w:numId w:val="0"/>
              </w:numPr>
              <w:autoSpaceDE/>
              <w:autoSpaceDN/>
              <w:snapToGrid/>
              <w:spacing w:before="0" w:after="0" w:line="240" w:lineRule="auto"/>
              <w:ind w:right="0" w:firstLine="0"/>
              <w:jc w:val="center"/>
              <w:rPr>
                <w:rFonts w:hint="eastAsia" w:ascii="宋体" w:hAnsi="宋体" w:eastAsia="宋体"/>
                <w:color w:val="000000"/>
                <w:position w:val="0"/>
                <w:sz w:val="24"/>
                <w:szCs w:val="24"/>
                <w:lang w:eastAsia="zh-CN"/>
              </w:rPr>
            </w:pPr>
            <w:r>
              <w:rPr>
                <w:rFonts w:hint="eastAsia" w:ascii="宋体" w:hAnsi="宋体" w:eastAsia="宋体"/>
                <w:color w:val="000000"/>
                <w:position w:val="0"/>
                <w:sz w:val="24"/>
                <w:szCs w:val="24"/>
                <w:lang w:eastAsia="zh-CN"/>
              </w:rPr>
              <w:t>王艳君</w:t>
            </w:r>
          </w:p>
        </w:tc>
        <w:tc>
          <w:tcPr>
            <w:tcW w:w="2577" w:type="dxa"/>
            <w:tcBorders>
              <w:top w:val="single" w:color="000000" w:sz="4" w:space="0"/>
              <w:left w:val="single" w:color="000000" w:sz="4" w:space="0"/>
              <w:bottom w:val="single" w:color="000000" w:sz="4" w:space="0"/>
              <w:right w:val="single" w:color="000000" w:sz="4" w:space="0"/>
            </w:tcBorders>
            <w:tcMar>
              <w:left w:w="108" w:type="dxa"/>
              <w:right w:w="108" w:type="dxa"/>
            </w:tcMar>
            <w:vAlign w:val="center"/>
          </w:tcPr>
          <w:p w14:paraId="321BBBFD">
            <w:pPr>
              <w:numPr>
                <w:ilvl w:val="0"/>
                <w:numId w:val="0"/>
              </w:numPr>
              <w:autoSpaceDE/>
              <w:autoSpaceDN/>
              <w:snapToGrid/>
              <w:spacing w:before="0" w:after="0" w:line="240" w:lineRule="auto"/>
              <w:ind w:right="0" w:firstLine="0"/>
              <w:jc w:val="center"/>
              <w:rPr>
                <w:rFonts w:hint="eastAsia" w:ascii="宋体" w:hAnsi="宋体" w:eastAsia="宋体"/>
                <w:color w:val="auto"/>
                <w:position w:val="0"/>
                <w:sz w:val="24"/>
                <w:szCs w:val="24"/>
                <w:lang w:eastAsia="zh-CN"/>
              </w:rPr>
            </w:pPr>
            <w:r>
              <w:rPr>
                <w:rFonts w:hint="eastAsia" w:ascii="宋体" w:hAnsi="宋体" w:eastAsia="宋体"/>
                <w:color w:val="000000"/>
                <w:position w:val="0"/>
                <w:sz w:val="24"/>
                <w:szCs w:val="24"/>
                <w:lang w:eastAsia="zh-CN"/>
              </w:rPr>
              <w:t>专家工作单位</w:t>
            </w:r>
          </w:p>
        </w:tc>
        <w:tc>
          <w:tcPr>
            <w:tcW w:w="3691" w:type="dxa"/>
            <w:tcBorders>
              <w:top w:val="single" w:color="000000" w:sz="4" w:space="0"/>
              <w:left w:val="single" w:color="000000" w:sz="4" w:space="0"/>
              <w:bottom w:val="single" w:color="000000" w:sz="4" w:space="0"/>
              <w:right w:val="single" w:color="000000" w:sz="4" w:space="0"/>
            </w:tcBorders>
            <w:tcMar>
              <w:left w:w="108" w:type="dxa"/>
              <w:right w:w="108" w:type="dxa"/>
            </w:tcMar>
            <w:vAlign w:val="center"/>
          </w:tcPr>
          <w:p w14:paraId="20A3AFCA">
            <w:pPr>
              <w:numPr>
                <w:ilvl w:val="0"/>
                <w:numId w:val="0"/>
              </w:numPr>
              <w:autoSpaceDE/>
              <w:autoSpaceDN/>
              <w:snapToGrid/>
              <w:spacing w:before="0" w:after="0" w:line="240" w:lineRule="auto"/>
              <w:ind w:right="0" w:firstLine="0"/>
              <w:jc w:val="center"/>
              <w:rPr>
                <w:rFonts w:hint="default" w:ascii="宋体" w:hAnsi="宋体" w:eastAsia="宋体"/>
                <w:color w:val="auto"/>
                <w:position w:val="0"/>
                <w:sz w:val="24"/>
                <w:szCs w:val="24"/>
                <w:lang w:val="en-US" w:eastAsia="zh-CN"/>
              </w:rPr>
            </w:pPr>
            <w:r>
              <w:rPr>
                <w:rFonts w:hint="eastAsia" w:ascii="宋体" w:hAnsi="宋体" w:eastAsia="宋体"/>
                <w:color w:val="auto"/>
                <w:position w:val="0"/>
                <w:sz w:val="24"/>
                <w:szCs w:val="24"/>
                <w:lang w:eastAsia="zh-CN"/>
              </w:rPr>
              <w:t>鸡西市水务局</w:t>
            </w:r>
          </w:p>
        </w:tc>
      </w:tr>
      <w:tr w14:paraId="1065B4E1">
        <w:tblPrEx>
          <w:tblCellMar>
            <w:top w:w="0" w:type="dxa"/>
            <w:left w:w="0" w:type="dxa"/>
            <w:bottom w:w="0" w:type="dxa"/>
            <w:right w:w="0" w:type="dxa"/>
          </w:tblCellMar>
        </w:tblPrEx>
        <w:trPr>
          <w:trHeight w:val="5313" w:hRule="atLeast"/>
          <w:jc w:val="center"/>
        </w:trPr>
        <w:tc>
          <w:tcPr>
            <w:tcW w:w="9769" w:type="dxa"/>
            <w:gridSpan w:val="4"/>
            <w:tcBorders>
              <w:top w:val="single" w:color="000000" w:sz="4" w:space="0"/>
              <w:left w:val="single" w:color="000000" w:sz="4" w:space="0"/>
              <w:bottom w:val="single" w:color="000000" w:sz="4" w:space="0"/>
              <w:right w:val="single" w:color="000000" w:sz="4" w:space="0"/>
            </w:tcBorders>
            <w:tcMar>
              <w:left w:w="108" w:type="dxa"/>
              <w:right w:w="108" w:type="dxa"/>
            </w:tcMar>
            <w:vAlign w:val="top"/>
          </w:tcPr>
          <w:p w14:paraId="30C89ED6">
            <w:pPr>
              <w:numPr>
                <w:ilvl w:val="0"/>
                <w:numId w:val="0"/>
              </w:numPr>
              <w:autoSpaceDE/>
              <w:autoSpaceDN/>
              <w:snapToGrid/>
              <w:spacing w:before="0" w:after="0" w:line="360" w:lineRule="auto"/>
              <w:ind w:right="0" w:firstLine="0"/>
              <w:jc w:val="left"/>
              <w:rPr>
                <w:rFonts w:hint="eastAsia" w:ascii="宋体" w:hAnsi="宋体" w:eastAsia="宋体"/>
                <w:color w:val="000000"/>
                <w:position w:val="0"/>
                <w:sz w:val="24"/>
                <w:szCs w:val="24"/>
                <w:lang w:eastAsia="zh-CN"/>
              </w:rPr>
            </w:pPr>
            <w:r>
              <w:rPr>
                <w:rFonts w:hint="eastAsia" w:ascii="宋体" w:hAnsi="宋体" w:eastAsia="宋体"/>
                <w:color w:val="000000"/>
                <w:position w:val="0"/>
                <w:sz w:val="24"/>
                <w:szCs w:val="24"/>
                <w:lang w:eastAsia="zh-CN"/>
              </w:rPr>
              <w:t>意见</w:t>
            </w:r>
          </w:p>
          <w:p w14:paraId="59248FCB">
            <w:pPr>
              <w:numPr>
                <w:ilvl w:val="0"/>
                <w:numId w:val="0"/>
              </w:numPr>
              <w:autoSpaceDE/>
              <w:autoSpaceDN/>
              <w:snapToGrid/>
              <w:spacing w:before="0" w:after="0" w:line="360" w:lineRule="auto"/>
              <w:ind w:right="0" w:firstLine="480" w:firstLineChars="200"/>
              <w:jc w:val="left"/>
              <w:rPr>
                <w:rFonts w:hint="eastAsia" w:ascii="宋体" w:hAnsi="宋体" w:eastAsia="宋体"/>
                <w:color w:val="000000"/>
                <w:position w:val="0"/>
                <w:sz w:val="24"/>
                <w:szCs w:val="24"/>
                <w:lang w:val="en-US" w:eastAsia="zh-CN"/>
              </w:rPr>
            </w:pPr>
            <w:r>
              <w:rPr>
                <w:rFonts w:hint="eastAsia" w:ascii="宋体" w:hAnsi="宋体" w:eastAsia="宋体"/>
                <w:color w:val="000000"/>
                <w:position w:val="0"/>
                <w:sz w:val="24"/>
                <w:szCs w:val="24"/>
                <w:lang w:val="en-US" w:eastAsia="zh-CN"/>
              </w:rPr>
              <w:t>1、根据修改后方案完善附件目录，所有附件目录中均应说明。</w:t>
            </w:r>
          </w:p>
          <w:p w14:paraId="30C8C65F">
            <w:pPr>
              <w:numPr>
                <w:ilvl w:val="0"/>
                <w:numId w:val="0"/>
              </w:numPr>
              <w:autoSpaceDE/>
              <w:autoSpaceDN/>
              <w:snapToGrid/>
              <w:spacing w:before="0" w:after="0" w:line="360" w:lineRule="auto"/>
              <w:ind w:right="0" w:firstLine="480" w:firstLineChars="200"/>
              <w:jc w:val="left"/>
              <w:rPr>
                <w:rFonts w:hint="eastAsia" w:ascii="宋体" w:hAnsi="宋体" w:eastAsia="宋体"/>
                <w:color w:val="000000"/>
                <w:position w:val="0"/>
                <w:sz w:val="24"/>
                <w:szCs w:val="24"/>
                <w:lang w:val="en-US" w:eastAsia="zh-CN"/>
              </w:rPr>
            </w:pPr>
            <w:r>
              <w:rPr>
                <w:rFonts w:hint="eastAsia" w:ascii="宋体" w:hAnsi="宋体" w:eastAsia="宋体"/>
                <w:color w:val="000000"/>
                <w:position w:val="0"/>
                <w:sz w:val="24"/>
                <w:szCs w:val="24"/>
                <w:lang w:val="en-US" w:eastAsia="zh-CN"/>
              </w:rPr>
              <w:t>2、任务由来中应补充说明该矿山是否编制过两案合一方案，是生产矿山还是停产矿山，本次是申请生产第一次编制生态修复方案吗？</w:t>
            </w:r>
          </w:p>
          <w:p w14:paraId="227D3EB1">
            <w:pPr>
              <w:numPr>
                <w:ilvl w:val="0"/>
                <w:numId w:val="0"/>
              </w:numPr>
              <w:autoSpaceDE/>
              <w:autoSpaceDN/>
              <w:snapToGrid/>
              <w:spacing w:before="0" w:after="0" w:line="360" w:lineRule="auto"/>
              <w:ind w:right="0" w:firstLine="480" w:firstLineChars="200"/>
              <w:jc w:val="left"/>
              <w:rPr>
                <w:rFonts w:hint="default" w:ascii="宋体" w:hAnsi="宋体" w:eastAsia="宋体"/>
                <w:color w:val="000000"/>
                <w:position w:val="0"/>
                <w:sz w:val="24"/>
                <w:szCs w:val="24"/>
                <w:lang w:val="en-US" w:eastAsia="zh-CN"/>
              </w:rPr>
            </w:pPr>
            <w:r>
              <w:rPr>
                <w:rFonts w:hint="eastAsia" w:ascii="宋体" w:hAnsi="宋体" w:eastAsia="宋体"/>
                <w:color w:val="000000"/>
                <w:position w:val="0"/>
                <w:sz w:val="24"/>
                <w:szCs w:val="24"/>
                <w:lang w:val="en-US" w:eastAsia="zh-CN"/>
              </w:rPr>
              <w:t>已补充</w:t>
            </w:r>
          </w:p>
          <w:p w14:paraId="2FCC8668">
            <w:pPr>
              <w:numPr>
                <w:ilvl w:val="0"/>
                <w:numId w:val="0"/>
              </w:numPr>
              <w:autoSpaceDE/>
              <w:autoSpaceDN/>
              <w:snapToGrid/>
              <w:spacing w:before="0" w:after="0" w:line="360" w:lineRule="auto"/>
              <w:ind w:right="0" w:firstLine="480" w:firstLineChars="200"/>
              <w:jc w:val="left"/>
              <w:rPr>
                <w:rFonts w:hint="eastAsia" w:ascii="宋体" w:hAnsi="宋体" w:eastAsia="宋体"/>
                <w:color w:val="auto"/>
                <w:position w:val="0"/>
                <w:sz w:val="24"/>
                <w:szCs w:val="24"/>
                <w:lang w:val="en-US" w:eastAsia="zh-CN"/>
              </w:rPr>
            </w:pPr>
            <w:r>
              <w:rPr>
                <w:rFonts w:hint="eastAsia" w:ascii="宋体" w:hAnsi="宋体" w:eastAsia="宋体"/>
                <w:color w:val="auto"/>
                <w:position w:val="0"/>
                <w:sz w:val="24"/>
                <w:szCs w:val="24"/>
                <w:lang w:val="en-US" w:eastAsia="zh-CN"/>
              </w:rPr>
              <w:t>3、方案适用年限后补充说明</w:t>
            </w:r>
            <w:r>
              <w:rPr>
                <w:rFonts w:hint="eastAsia" w:ascii="宋体" w:hAnsi="宋体" w:eastAsia="宋体"/>
                <w:color w:val="auto"/>
                <w:position w:val="0"/>
                <w:sz w:val="24"/>
                <w:szCs w:val="24"/>
                <w:highlight w:val="yellow"/>
                <w:lang w:val="en-US" w:eastAsia="zh-CN"/>
              </w:rPr>
              <w:t>“本方案不替代相关工程勘察、治理设计</w:t>
            </w:r>
            <w:r>
              <w:rPr>
                <w:rFonts w:hint="eastAsia" w:ascii="宋体" w:hAnsi="宋体" w:eastAsia="宋体"/>
                <w:color w:val="auto"/>
                <w:position w:val="0"/>
                <w:sz w:val="24"/>
                <w:szCs w:val="24"/>
                <w:lang w:val="en-US" w:eastAsia="zh-CN"/>
              </w:rPr>
              <w:t>，根据指南总体要求，涉及地质灾害、水土流失、环境污染、固体废弃物利用等治理工程部署不列入本方案，另案编制”。补充说明是否符合三区三线、河湖库及防护范围(这个说明详在服务年限说明这节最后说明，前面也说，原来最后一节的说明不全。</w:t>
            </w:r>
          </w:p>
          <w:p w14:paraId="60ADBC86">
            <w:pPr>
              <w:pStyle w:val="43"/>
              <w:topLinePunct/>
              <w:jc w:val="both"/>
              <w:rPr>
                <w:rFonts w:hint="default" w:ascii="宋体" w:hAnsi="宋体" w:eastAsia="宋体"/>
                <w:color w:val="auto"/>
                <w:position w:val="0"/>
                <w:sz w:val="24"/>
                <w:szCs w:val="24"/>
                <w:lang w:val="en-US" w:eastAsia="zh-CN"/>
              </w:rPr>
            </w:pPr>
            <w:r>
              <w:rPr>
                <w:rFonts w:hint="eastAsia" w:ascii="宋体" w:hAnsi="宋体" w:eastAsia="宋体"/>
                <w:color w:val="auto"/>
                <w:position w:val="0"/>
                <w:sz w:val="24"/>
                <w:szCs w:val="24"/>
                <w:lang w:val="en-US" w:eastAsia="zh-CN"/>
              </w:rPr>
              <w:t>复核生产规模，P4说明是</w:t>
            </w:r>
            <w:bookmarkStart w:id="1" w:name="_GoBack"/>
            <w:bookmarkEnd w:id="1"/>
            <w:r>
              <w:rPr>
                <w:rFonts w:hint="default" w:ascii="宋体" w:hAnsi="宋体" w:eastAsia="宋体"/>
                <w:color w:val="auto"/>
                <w:position w:val="0"/>
                <w:sz w:val="24"/>
                <w:szCs w:val="24"/>
                <w:lang w:val="en-US" w:eastAsia="zh-CN"/>
              </w:rPr>
              <w:t>矿山生产规模</w:t>
            </w:r>
            <w:r>
              <w:rPr>
                <w:rFonts w:hint="eastAsia" w:ascii="宋体" w:hAnsi="宋体" w:eastAsia="宋体"/>
                <w:color w:val="auto"/>
                <w:position w:val="0"/>
                <w:sz w:val="24"/>
                <w:szCs w:val="24"/>
                <w:lang w:val="en-US" w:eastAsia="zh-CN"/>
              </w:rPr>
              <w:t>9</w:t>
            </w:r>
            <w:r>
              <w:rPr>
                <w:rFonts w:hint="default" w:ascii="宋体" w:hAnsi="宋体" w:eastAsia="宋体"/>
                <w:color w:val="auto"/>
                <w:position w:val="0"/>
                <w:sz w:val="24"/>
                <w:szCs w:val="24"/>
                <w:lang w:val="en-US" w:eastAsia="zh-CN"/>
              </w:rPr>
              <w:t>万m3/年，</w:t>
            </w:r>
            <w:r>
              <w:rPr>
                <w:rFonts w:hint="eastAsia" w:ascii="宋体" w:hAnsi="宋体" w:eastAsia="宋体"/>
                <w:color w:val="auto"/>
                <w:position w:val="0"/>
                <w:sz w:val="24"/>
                <w:szCs w:val="24"/>
                <w:lang w:val="en-US" w:eastAsia="zh-CN"/>
              </w:rPr>
              <w:t>矿山基本情况说明是12.0</w:t>
            </w:r>
            <w:r>
              <w:rPr>
                <w:rFonts w:hint="default" w:ascii="宋体" w:hAnsi="宋体" w:eastAsia="宋体"/>
                <w:color w:val="auto"/>
                <w:position w:val="0"/>
                <w:sz w:val="24"/>
                <w:szCs w:val="24"/>
                <w:lang w:val="en-US" w:eastAsia="zh-CN"/>
              </w:rPr>
              <w:t>万m3/年</w:t>
            </w:r>
          </w:p>
          <w:p w14:paraId="33BD10B0">
            <w:pPr>
              <w:numPr>
                <w:ilvl w:val="0"/>
                <w:numId w:val="0"/>
              </w:numPr>
              <w:autoSpaceDE/>
              <w:autoSpaceDN/>
              <w:snapToGrid/>
              <w:spacing w:before="0" w:after="0" w:line="360" w:lineRule="auto"/>
              <w:ind w:right="0" w:firstLine="480" w:firstLineChars="200"/>
              <w:jc w:val="left"/>
              <w:rPr>
                <w:rFonts w:hint="default" w:ascii="宋体" w:hAnsi="宋体" w:eastAsia="宋体"/>
                <w:color w:val="0000FF"/>
                <w:position w:val="0"/>
                <w:sz w:val="24"/>
                <w:szCs w:val="24"/>
                <w:lang w:val="en-US" w:eastAsia="zh-CN"/>
              </w:rPr>
            </w:pPr>
            <w:r>
              <w:rPr>
                <w:rFonts w:hint="eastAsia" w:ascii="宋体" w:hAnsi="宋体" w:eastAsia="宋体"/>
                <w:color w:val="0000FF"/>
                <w:position w:val="0"/>
                <w:sz w:val="24"/>
                <w:szCs w:val="24"/>
                <w:lang w:val="en-US" w:eastAsia="zh-CN"/>
              </w:rPr>
              <w:t>复核“</w:t>
            </w:r>
            <w:r>
              <w:rPr>
                <w:rFonts w:hint="default" w:ascii="宋体" w:hAnsi="宋体" w:eastAsia="宋体"/>
                <w:color w:val="0000FF"/>
                <w:position w:val="0"/>
                <w:sz w:val="24"/>
                <w:szCs w:val="24"/>
                <w:lang w:val="en-US" w:eastAsia="zh-CN"/>
              </w:rPr>
              <w:t>恢复治理复垦施工期</w:t>
            </w:r>
            <w:r>
              <w:rPr>
                <w:rFonts w:hint="eastAsia" w:ascii="宋体" w:hAnsi="宋体" w:eastAsia="宋体"/>
                <w:color w:val="0000FF"/>
                <w:position w:val="0"/>
                <w:sz w:val="24"/>
                <w:szCs w:val="24"/>
                <w:lang w:val="en-US" w:eastAsia="zh-CN"/>
              </w:rPr>
              <w:t>10</w:t>
            </w:r>
            <w:r>
              <w:rPr>
                <w:rFonts w:hint="default" w:ascii="宋体" w:hAnsi="宋体" w:eastAsia="宋体"/>
                <w:color w:val="0000FF"/>
                <w:position w:val="0"/>
                <w:sz w:val="24"/>
                <w:szCs w:val="24"/>
                <w:lang w:val="en-US" w:eastAsia="zh-CN"/>
              </w:rPr>
              <w:t>年（20</w:t>
            </w:r>
            <w:r>
              <w:rPr>
                <w:rFonts w:hint="eastAsia" w:ascii="宋体" w:hAnsi="宋体" w:eastAsia="宋体"/>
                <w:color w:val="0000FF"/>
                <w:position w:val="0"/>
                <w:sz w:val="24"/>
                <w:szCs w:val="24"/>
                <w:lang w:val="en-US" w:eastAsia="zh-CN"/>
              </w:rPr>
              <w:t>26</w:t>
            </w:r>
            <w:r>
              <w:rPr>
                <w:rFonts w:hint="default" w:ascii="宋体" w:hAnsi="宋体" w:eastAsia="宋体"/>
                <w:color w:val="0000FF"/>
                <w:position w:val="0"/>
                <w:sz w:val="24"/>
                <w:szCs w:val="24"/>
                <w:lang w:val="en-US" w:eastAsia="zh-CN"/>
              </w:rPr>
              <w:t>年</w:t>
            </w:r>
            <w:r>
              <w:rPr>
                <w:rFonts w:hint="eastAsia" w:ascii="宋体" w:hAnsi="宋体" w:eastAsia="宋体"/>
                <w:color w:val="0000FF"/>
                <w:position w:val="0"/>
                <w:sz w:val="24"/>
                <w:szCs w:val="24"/>
                <w:lang w:val="en-US" w:eastAsia="zh-CN"/>
              </w:rPr>
              <w:t>10</w:t>
            </w:r>
            <w:r>
              <w:rPr>
                <w:rFonts w:hint="default" w:ascii="宋体" w:hAnsi="宋体" w:eastAsia="宋体"/>
                <w:color w:val="0000FF"/>
                <w:position w:val="0"/>
                <w:sz w:val="24"/>
                <w:szCs w:val="24"/>
                <w:lang w:val="en-US" w:eastAsia="zh-CN"/>
              </w:rPr>
              <w:t>月至203</w:t>
            </w:r>
            <w:r>
              <w:rPr>
                <w:rFonts w:hint="eastAsia" w:ascii="宋体" w:hAnsi="宋体" w:eastAsia="宋体"/>
                <w:color w:val="0000FF"/>
                <w:position w:val="0"/>
                <w:sz w:val="24"/>
                <w:szCs w:val="24"/>
                <w:lang w:val="en-US" w:eastAsia="zh-CN"/>
              </w:rPr>
              <w:t>6</w:t>
            </w:r>
            <w:r>
              <w:rPr>
                <w:rFonts w:hint="default" w:ascii="宋体" w:hAnsi="宋体" w:eastAsia="宋体"/>
                <w:color w:val="0000FF"/>
                <w:position w:val="0"/>
                <w:sz w:val="24"/>
                <w:szCs w:val="24"/>
                <w:lang w:val="en-US" w:eastAsia="zh-CN"/>
              </w:rPr>
              <w:t>年</w:t>
            </w:r>
            <w:r>
              <w:rPr>
                <w:rFonts w:hint="eastAsia" w:ascii="宋体" w:hAnsi="宋体" w:eastAsia="宋体"/>
                <w:color w:val="0000FF"/>
                <w:position w:val="0"/>
                <w:sz w:val="24"/>
                <w:szCs w:val="24"/>
                <w:lang w:val="en-US" w:eastAsia="zh-CN"/>
              </w:rPr>
              <w:t>9</w:t>
            </w:r>
            <w:r>
              <w:rPr>
                <w:rFonts w:hint="default" w:ascii="宋体" w:hAnsi="宋体" w:eastAsia="宋体"/>
                <w:color w:val="0000FF"/>
                <w:position w:val="0"/>
                <w:sz w:val="24"/>
                <w:szCs w:val="24"/>
                <w:lang w:val="en-US" w:eastAsia="zh-CN"/>
              </w:rPr>
              <w:t>月）</w:t>
            </w:r>
            <w:r>
              <w:rPr>
                <w:rFonts w:hint="eastAsia" w:ascii="宋体" w:hAnsi="宋体" w:eastAsia="宋体"/>
                <w:color w:val="0000FF"/>
                <w:position w:val="0"/>
                <w:sz w:val="24"/>
                <w:szCs w:val="24"/>
                <w:lang w:val="en-US" w:eastAsia="zh-CN"/>
              </w:rPr>
              <w:t>”是10年吗？是否应与P95实施计划说明一致。</w:t>
            </w:r>
          </w:p>
          <w:p w14:paraId="5C937F59">
            <w:pPr>
              <w:numPr>
                <w:ilvl w:val="0"/>
                <w:numId w:val="0"/>
              </w:numPr>
              <w:autoSpaceDE/>
              <w:autoSpaceDN/>
              <w:snapToGrid/>
              <w:spacing w:before="0" w:after="0" w:line="360" w:lineRule="auto"/>
              <w:ind w:right="0" w:firstLine="480" w:firstLineChars="200"/>
              <w:jc w:val="left"/>
              <w:rPr>
                <w:rFonts w:hint="eastAsia" w:ascii="宋体" w:hAnsi="宋体" w:eastAsia="宋体"/>
                <w:color w:val="000000"/>
                <w:position w:val="0"/>
                <w:sz w:val="24"/>
                <w:szCs w:val="24"/>
                <w:lang w:val="en-US" w:eastAsia="zh-CN"/>
              </w:rPr>
            </w:pPr>
            <w:r>
              <w:rPr>
                <w:rFonts w:hint="eastAsia" w:ascii="宋体" w:hAnsi="宋体" w:eastAsia="宋体"/>
                <w:color w:val="000000"/>
                <w:position w:val="0"/>
                <w:sz w:val="24"/>
                <w:szCs w:val="24"/>
                <w:lang w:val="en-US" w:eastAsia="zh-CN"/>
              </w:rPr>
              <w:t>4、矿业权人基本情况说明中矿山地址应到具体的村、屯</w:t>
            </w:r>
          </w:p>
          <w:p w14:paraId="0D5ACE06">
            <w:pPr>
              <w:numPr>
                <w:ilvl w:val="0"/>
                <w:numId w:val="0"/>
              </w:numPr>
              <w:autoSpaceDE/>
              <w:autoSpaceDN/>
              <w:snapToGrid/>
              <w:spacing w:before="0" w:after="0" w:line="360" w:lineRule="auto"/>
              <w:ind w:right="0" w:firstLine="480" w:firstLineChars="200"/>
              <w:jc w:val="left"/>
              <w:rPr>
                <w:rFonts w:hint="default" w:ascii="宋体" w:hAnsi="宋体" w:eastAsia="宋体"/>
                <w:color w:val="000000"/>
                <w:position w:val="0"/>
                <w:sz w:val="24"/>
                <w:szCs w:val="24"/>
                <w:lang w:val="en-US" w:eastAsia="zh-CN"/>
              </w:rPr>
            </w:pPr>
            <w:r>
              <w:rPr>
                <w:rFonts w:hint="eastAsia" w:ascii="宋体" w:hAnsi="宋体" w:eastAsia="宋体"/>
                <w:color w:val="000000"/>
                <w:position w:val="0"/>
                <w:sz w:val="24"/>
                <w:szCs w:val="24"/>
                <w:lang w:val="en-US" w:eastAsia="zh-CN"/>
              </w:rPr>
              <w:t>已补充</w:t>
            </w:r>
          </w:p>
          <w:p w14:paraId="05B1B184">
            <w:pPr>
              <w:numPr>
                <w:ilvl w:val="0"/>
                <w:numId w:val="0"/>
              </w:numPr>
              <w:autoSpaceDE/>
              <w:autoSpaceDN/>
              <w:snapToGrid/>
              <w:spacing w:before="0" w:after="0" w:line="360" w:lineRule="auto"/>
              <w:ind w:right="0" w:firstLine="480" w:firstLineChars="200"/>
              <w:jc w:val="left"/>
              <w:rPr>
                <w:rFonts w:hint="eastAsia" w:ascii="宋体" w:hAnsi="宋体" w:eastAsia="宋体"/>
                <w:color w:val="000000"/>
                <w:position w:val="0"/>
                <w:sz w:val="24"/>
                <w:szCs w:val="24"/>
                <w:lang w:val="en-US" w:eastAsia="zh-CN"/>
              </w:rPr>
            </w:pPr>
            <w:r>
              <w:rPr>
                <w:rFonts w:hint="eastAsia" w:ascii="宋体" w:hAnsi="宋体" w:eastAsia="宋体"/>
                <w:color w:val="000000"/>
                <w:position w:val="0"/>
                <w:sz w:val="24"/>
                <w:szCs w:val="24"/>
                <w:lang w:val="en-US" w:eastAsia="zh-CN"/>
              </w:rPr>
              <w:t>5、交通位置图建议选用鸡东县区划的，否则交通网看不清。</w:t>
            </w:r>
          </w:p>
          <w:p w14:paraId="39BA4902">
            <w:pPr>
              <w:numPr>
                <w:ilvl w:val="0"/>
                <w:numId w:val="0"/>
              </w:numPr>
              <w:autoSpaceDE/>
              <w:autoSpaceDN/>
              <w:snapToGrid/>
              <w:spacing w:before="0" w:after="0" w:line="360" w:lineRule="auto"/>
              <w:ind w:right="0" w:firstLine="480" w:firstLineChars="200"/>
              <w:jc w:val="left"/>
              <w:rPr>
                <w:rFonts w:hint="default" w:ascii="宋体" w:hAnsi="宋体" w:eastAsia="宋体"/>
                <w:color w:val="000000"/>
                <w:position w:val="0"/>
                <w:sz w:val="24"/>
                <w:szCs w:val="24"/>
                <w:lang w:val="en-US" w:eastAsia="zh-CN"/>
              </w:rPr>
            </w:pPr>
            <w:r>
              <w:rPr>
                <w:rFonts w:hint="eastAsia" w:ascii="宋体" w:hAnsi="宋体" w:eastAsia="宋体"/>
                <w:color w:val="000000"/>
                <w:position w:val="0"/>
                <w:sz w:val="24"/>
                <w:szCs w:val="24"/>
                <w:lang w:val="en-US" w:eastAsia="zh-CN"/>
              </w:rPr>
              <w:t>已更换</w:t>
            </w:r>
          </w:p>
          <w:p w14:paraId="7E542E2B">
            <w:pPr>
              <w:numPr>
                <w:ilvl w:val="0"/>
                <w:numId w:val="0"/>
              </w:numPr>
              <w:autoSpaceDE/>
              <w:autoSpaceDN/>
              <w:snapToGrid/>
              <w:spacing w:before="0" w:after="0" w:line="360" w:lineRule="auto"/>
              <w:ind w:right="0" w:firstLine="480" w:firstLineChars="200"/>
              <w:jc w:val="left"/>
              <w:rPr>
                <w:rFonts w:hint="eastAsia" w:ascii="宋体" w:hAnsi="宋体" w:eastAsia="宋体"/>
                <w:color w:val="000000"/>
                <w:position w:val="0"/>
                <w:sz w:val="24"/>
                <w:szCs w:val="24"/>
                <w:lang w:val="en-US" w:eastAsia="zh-CN"/>
              </w:rPr>
            </w:pPr>
            <w:r>
              <w:rPr>
                <w:rFonts w:hint="eastAsia" w:ascii="宋体" w:hAnsi="宋体" w:eastAsia="宋体"/>
                <w:color w:val="000000"/>
                <w:position w:val="0"/>
                <w:sz w:val="24"/>
                <w:szCs w:val="24"/>
                <w:lang w:val="en-US" w:eastAsia="zh-CN"/>
              </w:rPr>
              <w:t>6、矿山开采历史中建议补充说明须矿证办理过程及办完证后一直未生产原因，采矿证及有效期在历史情况中说明。</w:t>
            </w:r>
          </w:p>
          <w:p w14:paraId="37BC0642">
            <w:pPr>
              <w:numPr>
                <w:ilvl w:val="0"/>
                <w:numId w:val="0"/>
              </w:numPr>
              <w:autoSpaceDE/>
              <w:autoSpaceDN/>
              <w:snapToGrid/>
              <w:spacing w:before="0" w:after="0" w:line="360" w:lineRule="auto"/>
              <w:ind w:right="0" w:firstLine="480" w:firstLineChars="200"/>
              <w:jc w:val="left"/>
              <w:rPr>
                <w:rFonts w:hint="default" w:ascii="宋体" w:hAnsi="宋体" w:eastAsia="宋体"/>
                <w:color w:val="000000"/>
                <w:position w:val="0"/>
                <w:sz w:val="24"/>
                <w:szCs w:val="24"/>
                <w:lang w:val="en-US" w:eastAsia="zh-CN"/>
              </w:rPr>
            </w:pPr>
            <w:r>
              <w:rPr>
                <w:rFonts w:hint="eastAsia" w:ascii="宋体" w:hAnsi="宋体" w:eastAsia="宋体"/>
                <w:color w:val="000000"/>
                <w:position w:val="0"/>
                <w:sz w:val="24"/>
                <w:szCs w:val="24"/>
                <w:lang w:val="en-US" w:eastAsia="zh-CN"/>
              </w:rPr>
              <w:t>已补充</w:t>
            </w:r>
          </w:p>
          <w:p w14:paraId="0C61D21D">
            <w:pPr>
              <w:numPr>
                <w:ilvl w:val="0"/>
                <w:numId w:val="0"/>
              </w:numPr>
              <w:autoSpaceDE/>
              <w:autoSpaceDN/>
              <w:snapToGrid/>
              <w:spacing w:before="0" w:after="0" w:line="360" w:lineRule="auto"/>
              <w:ind w:right="0" w:firstLine="480" w:firstLineChars="200"/>
              <w:jc w:val="left"/>
              <w:rPr>
                <w:rFonts w:hint="eastAsia" w:ascii="宋体" w:hAnsi="宋体" w:eastAsia="宋体"/>
                <w:color w:val="000000"/>
                <w:position w:val="0"/>
                <w:sz w:val="24"/>
                <w:szCs w:val="24"/>
                <w:lang w:val="en-US" w:eastAsia="zh-CN"/>
              </w:rPr>
            </w:pPr>
            <w:r>
              <w:rPr>
                <w:rFonts w:hint="eastAsia" w:ascii="宋体" w:hAnsi="宋体" w:eastAsia="宋体"/>
                <w:color w:val="000000"/>
                <w:position w:val="0"/>
                <w:sz w:val="24"/>
                <w:szCs w:val="24"/>
                <w:lang w:val="en-US" w:eastAsia="zh-CN"/>
              </w:rPr>
              <w:t>7、现状中说明是否已具备开采条件，是否附属工程已完成，批准后即可开工建设。补充矿山现状照片。</w:t>
            </w:r>
          </w:p>
          <w:p w14:paraId="791F3301">
            <w:pPr>
              <w:numPr>
                <w:ilvl w:val="0"/>
                <w:numId w:val="0"/>
              </w:numPr>
              <w:autoSpaceDE/>
              <w:autoSpaceDN/>
              <w:snapToGrid/>
              <w:spacing w:before="0" w:after="0" w:line="360" w:lineRule="auto"/>
              <w:ind w:right="0" w:firstLine="480" w:firstLineChars="200"/>
              <w:jc w:val="left"/>
              <w:rPr>
                <w:rFonts w:hint="default" w:ascii="宋体" w:hAnsi="宋体" w:eastAsia="宋体"/>
                <w:color w:val="000000"/>
                <w:position w:val="0"/>
                <w:sz w:val="24"/>
                <w:szCs w:val="24"/>
                <w:lang w:val="en-US" w:eastAsia="zh-CN"/>
              </w:rPr>
            </w:pPr>
            <w:r>
              <w:rPr>
                <w:rFonts w:hint="eastAsia" w:ascii="宋体" w:hAnsi="宋体" w:eastAsia="宋体"/>
                <w:color w:val="000000"/>
                <w:position w:val="0"/>
                <w:sz w:val="24"/>
                <w:szCs w:val="24"/>
                <w:lang w:val="en-US" w:eastAsia="zh-CN"/>
              </w:rPr>
              <w:t>已补充</w:t>
            </w:r>
          </w:p>
          <w:p w14:paraId="6B95FF87">
            <w:pPr>
              <w:numPr>
                <w:ilvl w:val="0"/>
                <w:numId w:val="0"/>
              </w:numPr>
              <w:autoSpaceDE/>
              <w:autoSpaceDN/>
              <w:snapToGrid/>
              <w:spacing w:before="0" w:after="0" w:line="360" w:lineRule="auto"/>
              <w:ind w:right="0" w:firstLine="480" w:firstLineChars="200"/>
              <w:jc w:val="left"/>
              <w:rPr>
                <w:rFonts w:hint="eastAsia" w:ascii="宋体" w:hAnsi="宋体" w:eastAsia="宋体"/>
                <w:color w:val="000000"/>
                <w:position w:val="0"/>
                <w:sz w:val="24"/>
                <w:szCs w:val="24"/>
                <w:lang w:val="en-US" w:eastAsia="zh-CN"/>
              </w:rPr>
            </w:pPr>
            <w:r>
              <w:rPr>
                <w:rFonts w:hint="eastAsia" w:ascii="宋体" w:hAnsi="宋体" w:eastAsia="宋体"/>
                <w:color w:val="000000"/>
                <w:position w:val="0"/>
                <w:sz w:val="24"/>
                <w:szCs w:val="24"/>
                <w:lang w:val="en-US" w:eastAsia="zh-CN"/>
              </w:rPr>
              <w:t>8、采剥工艺应按开发利用方案说明，且说明依据开发利用方案。</w:t>
            </w:r>
          </w:p>
          <w:p w14:paraId="630EA4EE">
            <w:pPr>
              <w:numPr>
                <w:ilvl w:val="0"/>
                <w:numId w:val="0"/>
              </w:numPr>
              <w:autoSpaceDE/>
              <w:autoSpaceDN/>
              <w:snapToGrid/>
              <w:spacing w:before="0" w:after="0" w:line="360" w:lineRule="auto"/>
              <w:ind w:right="0" w:firstLine="480" w:firstLineChars="200"/>
              <w:jc w:val="left"/>
              <w:rPr>
                <w:rFonts w:hint="default" w:ascii="宋体" w:hAnsi="宋体" w:eastAsia="宋体"/>
                <w:color w:val="000000"/>
                <w:position w:val="0"/>
                <w:sz w:val="24"/>
                <w:szCs w:val="24"/>
                <w:lang w:val="en-US" w:eastAsia="zh-CN"/>
              </w:rPr>
            </w:pPr>
            <w:r>
              <w:rPr>
                <w:rFonts w:hint="eastAsia" w:ascii="宋体" w:hAnsi="宋体" w:eastAsia="宋体"/>
                <w:color w:val="000000"/>
                <w:position w:val="0"/>
                <w:sz w:val="24"/>
                <w:szCs w:val="24"/>
                <w:lang w:val="en-US" w:eastAsia="zh-CN"/>
              </w:rPr>
              <w:t>已补充</w:t>
            </w:r>
          </w:p>
          <w:p w14:paraId="3CB38BAC">
            <w:pPr>
              <w:numPr>
                <w:ilvl w:val="0"/>
                <w:numId w:val="0"/>
              </w:numPr>
              <w:autoSpaceDE/>
              <w:autoSpaceDN/>
              <w:snapToGrid/>
              <w:spacing w:before="0" w:after="0" w:line="360" w:lineRule="auto"/>
              <w:ind w:right="0" w:firstLine="480" w:firstLineChars="200"/>
              <w:jc w:val="left"/>
              <w:rPr>
                <w:rFonts w:hint="eastAsia" w:ascii="宋体" w:hAnsi="宋体" w:eastAsia="宋体"/>
                <w:color w:val="000000"/>
                <w:position w:val="0"/>
                <w:sz w:val="24"/>
                <w:szCs w:val="24"/>
                <w:lang w:val="en-US" w:eastAsia="zh-CN"/>
              </w:rPr>
            </w:pPr>
            <w:r>
              <w:rPr>
                <w:rFonts w:hint="eastAsia" w:ascii="宋体" w:hAnsi="宋体" w:eastAsia="宋体"/>
                <w:color w:val="000000"/>
                <w:position w:val="0"/>
                <w:sz w:val="24"/>
                <w:szCs w:val="24"/>
                <w:lang w:val="en-US" w:eastAsia="zh-CN"/>
              </w:rPr>
              <w:t>9、复核矿山生产能力及服务年限计算，应依据矿井服务年限：T＝Z/(k·A)，应有储量备用系数K。</w:t>
            </w:r>
          </w:p>
          <w:p w14:paraId="3564E2ED">
            <w:pPr>
              <w:numPr>
                <w:ilvl w:val="0"/>
                <w:numId w:val="0"/>
              </w:numPr>
              <w:autoSpaceDE/>
              <w:autoSpaceDN/>
              <w:snapToGrid/>
              <w:spacing w:before="0" w:after="0" w:line="360" w:lineRule="auto"/>
              <w:ind w:right="0" w:firstLine="480" w:firstLineChars="200"/>
              <w:jc w:val="left"/>
              <w:rPr>
                <w:rFonts w:hint="default" w:ascii="宋体" w:hAnsi="宋体" w:eastAsia="宋体"/>
                <w:color w:val="000000"/>
                <w:position w:val="0"/>
                <w:sz w:val="24"/>
                <w:szCs w:val="24"/>
                <w:lang w:val="en-US" w:eastAsia="zh-CN"/>
              </w:rPr>
            </w:pPr>
            <w:r>
              <w:rPr>
                <w:rFonts w:hint="eastAsia" w:ascii="宋体" w:hAnsi="宋体" w:eastAsia="宋体"/>
                <w:color w:val="000000"/>
                <w:position w:val="0"/>
                <w:sz w:val="24"/>
                <w:szCs w:val="24"/>
                <w:lang w:val="en-US" w:eastAsia="zh-CN"/>
              </w:rPr>
              <w:t>已补充</w:t>
            </w:r>
          </w:p>
          <w:p w14:paraId="01948433">
            <w:pPr>
              <w:numPr>
                <w:ilvl w:val="0"/>
                <w:numId w:val="0"/>
              </w:numPr>
              <w:autoSpaceDE/>
              <w:autoSpaceDN/>
              <w:snapToGrid/>
              <w:spacing w:before="0" w:after="0" w:line="360" w:lineRule="auto"/>
              <w:ind w:right="0" w:firstLine="480" w:firstLineChars="200"/>
              <w:jc w:val="left"/>
              <w:rPr>
                <w:rFonts w:hint="eastAsia" w:ascii="宋体" w:hAnsi="宋体" w:eastAsia="宋体"/>
                <w:color w:val="auto"/>
                <w:position w:val="0"/>
                <w:sz w:val="24"/>
                <w:szCs w:val="24"/>
                <w:lang w:val="en-US" w:eastAsia="zh-CN"/>
              </w:rPr>
            </w:pPr>
            <w:r>
              <w:rPr>
                <w:rFonts w:hint="eastAsia" w:ascii="宋体" w:hAnsi="宋体" w:eastAsia="宋体"/>
                <w:color w:val="auto"/>
                <w:position w:val="0"/>
                <w:sz w:val="24"/>
                <w:szCs w:val="24"/>
                <w:lang w:val="en-US" w:eastAsia="zh-CN"/>
              </w:rPr>
              <w:t>10、完善项目区土壤剖面图，应按土方复垦实物下完善剖面图，应达到有效层厚度。</w:t>
            </w:r>
          </w:p>
          <w:p w14:paraId="44969092">
            <w:pPr>
              <w:numPr>
                <w:ilvl w:val="0"/>
                <w:numId w:val="0"/>
              </w:numPr>
              <w:autoSpaceDE/>
              <w:autoSpaceDN/>
              <w:snapToGrid/>
              <w:spacing w:before="0" w:after="0" w:line="360" w:lineRule="auto"/>
              <w:ind w:right="0" w:firstLine="480" w:firstLineChars="200"/>
              <w:jc w:val="left"/>
              <w:rPr>
                <w:rFonts w:hint="default" w:ascii="宋体" w:hAnsi="宋体" w:eastAsia="宋体"/>
                <w:color w:val="auto"/>
                <w:position w:val="0"/>
                <w:sz w:val="24"/>
                <w:szCs w:val="24"/>
                <w:lang w:val="en-US" w:eastAsia="zh-CN"/>
              </w:rPr>
            </w:pPr>
            <w:r>
              <w:rPr>
                <w:rFonts w:hint="eastAsia" w:ascii="宋体" w:hAnsi="宋体" w:eastAsia="宋体"/>
                <w:color w:val="auto"/>
                <w:position w:val="0"/>
                <w:sz w:val="24"/>
                <w:szCs w:val="24"/>
                <w:lang w:val="en-US" w:eastAsia="zh-CN"/>
              </w:rPr>
              <w:t>已补充</w:t>
            </w:r>
          </w:p>
          <w:p w14:paraId="252C94BC">
            <w:pPr>
              <w:numPr>
                <w:ilvl w:val="0"/>
                <w:numId w:val="0"/>
              </w:numPr>
              <w:autoSpaceDE/>
              <w:autoSpaceDN/>
              <w:snapToGrid/>
              <w:spacing w:before="0" w:after="0" w:line="360" w:lineRule="auto"/>
              <w:ind w:right="0" w:firstLine="480" w:firstLineChars="200"/>
              <w:jc w:val="left"/>
              <w:rPr>
                <w:rFonts w:hint="eastAsia" w:ascii="宋体" w:hAnsi="宋体" w:eastAsia="宋体"/>
                <w:color w:val="000000"/>
                <w:position w:val="0"/>
                <w:sz w:val="24"/>
                <w:szCs w:val="24"/>
                <w:lang w:val="en-US" w:eastAsia="zh-CN"/>
              </w:rPr>
            </w:pPr>
            <w:r>
              <w:rPr>
                <w:rFonts w:hint="eastAsia" w:ascii="宋体" w:hAnsi="宋体" w:eastAsia="宋体"/>
                <w:color w:val="000000"/>
                <w:position w:val="0"/>
                <w:sz w:val="24"/>
                <w:szCs w:val="24"/>
                <w:lang w:val="en-US" w:eastAsia="zh-CN"/>
              </w:rPr>
              <w:t>11、工程地质应与已批复开发利用方案一致。</w:t>
            </w:r>
          </w:p>
          <w:p w14:paraId="232ACE8D">
            <w:pPr>
              <w:numPr>
                <w:ilvl w:val="0"/>
                <w:numId w:val="0"/>
              </w:numPr>
              <w:autoSpaceDE/>
              <w:autoSpaceDN/>
              <w:snapToGrid/>
              <w:spacing w:before="0" w:after="0" w:line="360" w:lineRule="auto"/>
              <w:ind w:right="0" w:firstLine="480" w:firstLineChars="200"/>
              <w:jc w:val="left"/>
              <w:rPr>
                <w:rFonts w:hint="default" w:ascii="宋体" w:hAnsi="宋体" w:eastAsia="宋体"/>
                <w:color w:val="000000"/>
                <w:position w:val="0"/>
                <w:sz w:val="24"/>
                <w:szCs w:val="24"/>
                <w:lang w:val="en-US" w:eastAsia="zh-CN"/>
              </w:rPr>
            </w:pPr>
            <w:r>
              <w:rPr>
                <w:rFonts w:hint="eastAsia" w:ascii="宋体" w:hAnsi="宋体" w:eastAsia="宋体"/>
                <w:color w:val="000000"/>
                <w:position w:val="0"/>
                <w:sz w:val="24"/>
                <w:szCs w:val="24"/>
                <w:lang w:val="en-US" w:eastAsia="zh-CN"/>
              </w:rPr>
              <w:t>已修改</w:t>
            </w:r>
          </w:p>
          <w:p w14:paraId="7DB4F17F">
            <w:pPr>
              <w:numPr>
                <w:ilvl w:val="0"/>
                <w:numId w:val="0"/>
              </w:numPr>
              <w:autoSpaceDE/>
              <w:autoSpaceDN/>
              <w:snapToGrid/>
              <w:spacing w:before="0" w:after="0" w:line="360" w:lineRule="auto"/>
              <w:ind w:right="0" w:firstLine="480" w:firstLineChars="200"/>
              <w:jc w:val="left"/>
              <w:rPr>
                <w:rFonts w:hint="eastAsia" w:ascii="宋体" w:hAnsi="宋体" w:eastAsia="宋体"/>
                <w:color w:val="auto"/>
                <w:position w:val="0"/>
                <w:sz w:val="24"/>
                <w:szCs w:val="24"/>
                <w:lang w:val="en-US" w:eastAsia="zh-CN"/>
              </w:rPr>
            </w:pPr>
            <w:r>
              <w:rPr>
                <w:rFonts w:hint="eastAsia" w:ascii="宋体" w:hAnsi="宋体" w:eastAsia="宋体"/>
                <w:color w:val="auto"/>
                <w:position w:val="0"/>
                <w:sz w:val="24"/>
                <w:szCs w:val="24"/>
                <w:lang w:val="en-US" w:eastAsia="zh-CN"/>
              </w:rPr>
              <w:t>12、矿区及周边人类重大工程活动现生态修复方案要求的是：可能影响矿区生态修复目标方向、复垦修复标准、治理措施的人类工程活动。不是矿山生产对周边的影响。</w:t>
            </w:r>
          </w:p>
          <w:p w14:paraId="7A34A98A">
            <w:pPr>
              <w:numPr>
                <w:ilvl w:val="0"/>
                <w:numId w:val="0"/>
              </w:numPr>
              <w:autoSpaceDE/>
              <w:autoSpaceDN/>
              <w:snapToGrid/>
              <w:spacing w:before="0" w:after="0" w:line="360" w:lineRule="auto"/>
              <w:ind w:right="0" w:firstLine="480" w:firstLineChars="200"/>
              <w:jc w:val="left"/>
              <w:rPr>
                <w:rFonts w:hint="default" w:ascii="宋体" w:hAnsi="宋体" w:eastAsia="宋体"/>
                <w:color w:val="auto"/>
                <w:position w:val="0"/>
                <w:sz w:val="24"/>
                <w:szCs w:val="24"/>
                <w:lang w:val="en-US" w:eastAsia="zh-CN"/>
              </w:rPr>
            </w:pPr>
            <w:r>
              <w:rPr>
                <w:rFonts w:hint="eastAsia" w:ascii="宋体" w:hAnsi="宋体" w:eastAsia="宋体"/>
                <w:color w:val="auto"/>
                <w:position w:val="0"/>
                <w:sz w:val="24"/>
                <w:szCs w:val="24"/>
                <w:lang w:val="en-US" w:eastAsia="zh-CN"/>
              </w:rPr>
              <w:t>已修改</w:t>
            </w:r>
          </w:p>
          <w:p w14:paraId="2908DE87">
            <w:pPr>
              <w:numPr>
                <w:ilvl w:val="0"/>
                <w:numId w:val="0"/>
              </w:numPr>
              <w:autoSpaceDE/>
              <w:autoSpaceDN/>
              <w:snapToGrid/>
              <w:spacing w:before="0" w:after="0" w:line="360" w:lineRule="auto"/>
              <w:ind w:right="0" w:firstLine="480" w:firstLineChars="200"/>
              <w:jc w:val="left"/>
              <w:rPr>
                <w:rFonts w:hint="eastAsia" w:ascii="宋体" w:hAnsi="宋体" w:eastAsia="宋体"/>
                <w:color w:val="auto"/>
                <w:position w:val="0"/>
                <w:sz w:val="24"/>
                <w:szCs w:val="24"/>
                <w:lang w:val="en-US" w:eastAsia="zh-CN"/>
              </w:rPr>
            </w:pPr>
            <w:r>
              <w:rPr>
                <w:rFonts w:hint="eastAsia" w:ascii="宋体" w:hAnsi="宋体" w:eastAsia="宋体"/>
                <w:color w:val="auto"/>
                <w:position w:val="0"/>
                <w:sz w:val="24"/>
                <w:szCs w:val="24"/>
                <w:lang w:val="en-US" w:eastAsia="zh-CN"/>
              </w:rPr>
              <w:t xml:space="preserve">13、完善表 </w:t>
            </w:r>
            <w:r>
              <w:rPr>
                <w:rFonts w:hint="default" w:ascii="宋体" w:hAnsi="宋体" w:eastAsia="宋体"/>
                <w:color w:val="auto"/>
                <w:position w:val="0"/>
                <w:sz w:val="24"/>
                <w:szCs w:val="24"/>
                <w:lang w:val="en-US" w:eastAsia="zh-CN"/>
              </w:rPr>
              <w:t>2-3</w:t>
            </w:r>
            <w:r>
              <w:rPr>
                <w:rFonts w:hint="eastAsia" w:ascii="宋体" w:hAnsi="宋体" w:eastAsia="宋体"/>
                <w:color w:val="auto"/>
                <w:position w:val="0"/>
                <w:sz w:val="24"/>
                <w:szCs w:val="24"/>
                <w:lang w:val="en-US" w:eastAsia="zh-CN"/>
              </w:rPr>
              <w:t>、2-4，监测应根据《指南（临时）》样表</w:t>
            </w:r>
            <w:r>
              <w:rPr>
                <w:rFonts w:hint="default" w:ascii="宋体" w:hAnsi="宋体" w:eastAsia="宋体"/>
                <w:color w:val="auto"/>
                <w:position w:val="0"/>
                <w:sz w:val="24"/>
                <w:szCs w:val="24"/>
                <w:lang w:val="en-US" w:eastAsia="zh-CN"/>
              </w:rPr>
              <w:t>6--</w:t>
            </w:r>
            <w:r>
              <w:rPr>
                <w:rFonts w:hint="eastAsia" w:ascii="宋体" w:hAnsi="宋体" w:eastAsia="宋体"/>
                <w:color w:val="auto"/>
                <w:position w:val="0"/>
                <w:sz w:val="24"/>
                <w:szCs w:val="24"/>
                <w:lang w:val="en-US" w:eastAsia="zh-CN"/>
              </w:rPr>
              <w:t>按照《</w:t>
            </w:r>
            <w:r>
              <w:rPr>
                <w:rFonts w:hint="default" w:ascii="宋体" w:hAnsi="宋体" w:eastAsia="宋体"/>
                <w:color w:val="auto"/>
                <w:position w:val="0"/>
                <w:sz w:val="24"/>
                <w:szCs w:val="24"/>
                <w:lang w:val="en-US" w:eastAsia="zh-CN"/>
              </w:rPr>
              <w:t>GB/T43935-2024</w:t>
            </w:r>
            <w:r>
              <w:rPr>
                <w:rFonts w:hint="eastAsia" w:ascii="宋体" w:hAnsi="宋体" w:eastAsia="宋体"/>
                <w:color w:val="auto"/>
                <w:position w:val="0"/>
                <w:sz w:val="24"/>
                <w:szCs w:val="24"/>
                <w:lang w:val="en-US" w:eastAsia="zh-CN"/>
              </w:rPr>
              <w:t>矿山土地复垦与生态修复监测评价技术规范》要求，根据矿区实际情况确定监测对象、监测内容，明确监测指标及监测方法，与本方案无关的内容则不列入。</w:t>
            </w:r>
          </w:p>
          <w:p w14:paraId="25026A0F">
            <w:pPr>
              <w:numPr>
                <w:ilvl w:val="0"/>
                <w:numId w:val="0"/>
              </w:numPr>
              <w:autoSpaceDE/>
              <w:autoSpaceDN/>
              <w:snapToGrid/>
              <w:spacing w:before="0" w:after="0" w:line="360" w:lineRule="auto"/>
              <w:ind w:right="0" w:firstLine="480" w:firstLineChars="200"/>
              <w:jc w:val="left"/>
              <w:rPr>
                <w:rFonts w:hint="default" w:ascii="宋体" w:hAnsi="宋体" w:eastAsia="宋体"/>
                <w:color w:val="000000"/>
                <w:position w:val="0"/>
                <w:sz w:val="24"/>
                <w:szCs w:val="24"/>
                <w:lang w:val="en-US" w:eastAsia="zh-CN"/>
              </w:rPr>
            </w:pPr>
            <w:r>
              <w:rPr>
                <w:rFonts w:hint="eastAsia" w:ascii="宋体" w:hAnsi="宋体" w:eastAsia="宋体"/>
                <w:color w:val="000000"/>
                <w:position w:val="0"/>
                <w:sz w:val="24"/>
                <w:szCs w:val="24"/>
                <w:lang w:val="en-US" w:eastAsia="zh-CN"/>
              </w:rPr>
              <w:t>已修改</w:t>
            </w:r>
          </w:p>
          <w:p w14:paraId="3867B5D7">
            <w:pPr>
              <w:numPr>
                <w:ilvl w:val="0"/>
                <w:numId w:val="0"/>
              </w:numPr>
              <w:autoSpaceDE/>
              <w:autoSpaceDN/>
              <w:snapToGrid/>
              <w:spacing w:before="0" w:after="0" w:line="360" w:lineRule="auto"/>
              <w:ind w:right="0" w:firstLine="480" w:firstLineChars="200"/>
              <w:jc w:val="left"/>
              <w:rPr>
                <w:rFonts w:hint="default" w:ascii="宋体" w:hAnsi="宋体" w:eastAsia="宋体"/>
                <w:color w:val="0000FF"/>
                <w:position w:val="0"/>
                <w:sz w:val="24"/>
                <w:szCs w:val="24"/>
                <w:highlight w:val="none"/>
                <w:lang w:val="en-US" w:eastAsia="zh-CN"/>
              </w:rPr>
            </w:pPr>
            <w:r>
              <w:rPr>
                <w:rFonts w:hint="eastAsia" w:ascii="宋体" w:hAnsi="宋体" w:eastAsia="宋体"/>
                <w:color w:val="000000"/>
                <w:position w:val="0"/>
                <w:sz w:val="24"/>
                <w:szCs w:val="24"/>
                <w:highlight w:val="none"/>
                <w:lang w:val="en-US" w:eastAsia="zh-CN"/>
              </w:rPr>
              <w:t>1</w:t>
            </w:r>
            <w:r>
              <w:rPr>
                <w:rFonts w:hint="eastAsia" w:ascii="宋体" w:hAnsi="宋体" w:eastAsia="宋体"/>
                <w:color w:val="auto"/>
                <w:position w:val="0"/>
                <w:sz w:val="24"/>
                <w:szCs w:val="24"/>
                <w:highlight w:val="none"/>
                <w:lang w:val="en-US" w:eastAsia="zh-CN"/>
              </w:rPr>
              <w:t>4、完善边开采、边修复的情况说明，应有具体的分区及分区图，建议按不同是修复时段进行分区标注。完善</w:t>
            </w:r>
            <w:r>
              <w:rPr>
                <w:rFonts w:hint="default" w:ascii="宋体" w:hAnsi="宋体" w:eastAsia="宋体"/>
                <w:color w:val="auto"/>
                <w:position w:val="0"/>
                <w:sz w:val="24"/>
                <w:szCs w:val="24"/>
                <w:highlight w:val="none"/>
                <w:lang w:val="en-US" w:eastAsia="zh-CN"/>
              </w:rPr>
              <w:t>"采完一块、修复一块"的流水作业</w:t>
            </w:r>
            <w:r>
              <w:rPr>
                <w:rFonts w:hint="eastAsia" w:ascii="宋体" w:hAnsi="宋体" w:eastAsia="宋体"/>
                <w:color w:val="auto"/>
                <w:position w:val="0"/>
                <w:sz w:val="24"/>
                <w:szCs w:val="24"/>
                <w:highlight w:val="none"/>
                <w:lang w:val="en-US" w:eastAsia="zh-CN"/>
              </w:rPr>
              <w:t>的分区图及时间，不能直接说</w:t>
            </w:r>
            <w:r>
              <w:rPr>
                <w:rFonts w:hint="default" w:ascii="宋体" w:hAnsi="宋体" w:eastAsia="宋体"/>
                <w:color w:val="auto"/>
                <w:position w:val="0"/>
                <w:sz w:val="24"/>
                <w:szCs w:val="24"/>
                <w:highlight w:val="none"/>
                <w:lang w:val="en-US" w:eastAsia="zh-CN"/>
              </w:rPr>
              <w:t>露天采场平台和底部合围区</w:t>
            </w:r>
            <w:r>
              <w:rPr>
                <w:rFonts w:hint="eastAsia" w:ascii="宋体" w:hAnsi="宋体" w:eastAsia="宋体"/>
                <w:color w:val="auto"/>
                <w:position w:val="0"/>
                <w:sz w:val="24"/>
                <w:szCs w:val="24"/>
                <w:highlight w:val="none"/>
                <w:lang w:val="en-US" w:eastAsia="zh-CN"/>
              </w:rPr>
              <w:t>、边坡都 是</w:t>
            </w:r>
            <w:r>
              <w:rPr>
                <w:rFonts w:hint="default" w:ascii="宋体" w:hAnsi="宋体" w:eastAsia="宋体"/>
                <w:color w:val="auto"/>
                <w:position w:val="0"/>
                <w:sz w:val="24"/>
                <w:szCs w:val="24"/>
                <w:highlight w:val="none"/>
                <w:lang w:val="en-US" w:eastAsia="zh-CN"/>
              </w:rPr>
              <w:t>2026年</w:t>
            </w:r>
            <w:r>
              <w:rPr>
                <w:rFonts w:hint="eastAsia" w:ascii="宋体" w:hAnsi="宋体" w:eastAsia="宋体"/>
                <w:color w:val="auto"/>
                <w:position w:val="0"/>
                <w:sz w:val="24"/>
                <w:szCs w:val="24"/>
                <w:highlight w:val="none"/>
                <w:lang w:val="en-US" w:eastAsia="zh-CN"/>
              </w:rPr>
              <w:t>10月-2036年9月，应说明每年是实施哪 一部分，面积是多少？措施是什么。补充说明复垦区大于矿区面积部分是什么占地，是否有手续？</w:t>
            </w:r>
          </w:p>
          <w:p w14:paraId="002F7FCA">
            <w:pPr>
              <w:numPr>
                <w:ilvl w:val="0"/>
                <w:numId w:val="0"/>
              </w:numPr>
              <w:autoSpaceDE/>
              <w:autoSpaceDN/>
              <w:snapToGrid/>
              <w:spacing w:before="0" w:after="0" w:line="360" w:lineRule="auto"/>
              <w:ind w:right="0" w:firstLine="480" w:firstLineChars="200"/>
              <w:jc w:val="left"/>
              <w:rPr>
                <w:rFonts w:hint="default" w:ascii="宋体" w:hAnsi="宋体" w:eastAsia="宋体"/>
                <w:color w:val="000000"/>
                <w:position w:val="0"/>
                <w:sz w:val="24"/>
                <w:szCs w:val="24"/>
                <w:highlight w:val="none"/>
                <w:lang w:val="en-US" w:eastAsia="zh-CN"/>
              </w:rPr>
            </w:pPr>
            <w:r>
              <w:rPr>
                <w:rFonts w:hint="eastAsia" w:ascii="宋体" w:hAnsi="宋体" w:eastAsia="宋体"/>
                <w:color w:val="000000"/>
                <w:position w:val="0"/>
                <w:sz w:val="24"/>
                <w:szCs w:val="24"/>
                <w:highlight w:val="none"/>
                <w:lang w:val="en-US" w:eastAsia="zh-CN"/>
              </w:rPr>
              <w:t>已修改</w:t>
            </w:r>
          </w:p>
          <w:p w14:paraId="7E967B6D">
            <w:pPr>
              <w:numPr>
                <w:ilvl w:val="0"/>
                <w:numId w:val="0"/>
              </w:numPr>
              <w:autoSpaceDE/>
              <w:autoSpaceDN/>
              <w:snapToGrid/>
              <w:spacing w:before="0" w:after="0" w:line="360" w:lineRule="auto"/>
              <w:ind w:right="0" w:firstLine="480" w:firstLineChars="200"/>
              <w:jc w:val="left"/>
              <w:rPr>
                <w:rFonts w:hint="default" w:ascii="宋体" w:hAnsi="宋体" w:eastAsia="宋体"/>
                <w:color w:val="0000FF"/>
                <w:position w:val="0"/>
                <w:sz w:val="24"/>
                <w:szCs w:val="24"/>
                <w:highlight w:val="none"/>
                <w:lang w:val="en-US" w:eastAsia="zh-CN"/>
              </w:rPr>
            </w:pPr>
            <w:r>
              <w:rPr>
                <w:rFonts w:hint="eastAsia" w:ascii="宋体" w:hAnsi="宋体" w:eastAsia="宋体"/>
                <w:color w:val="auto"/>
                <w:position w:val="0"/>
                <w:sz w:val="24"/>
                <w:szCs w:val="24"/>
                <w:highlight w:val="none"/>
                <w:lang w:val="en-US" w:eastAsia="zh-CN"/>
              </w:rPr>
              <w:t>15、根据开采分区时段划分，完善表3-24说明，补充表土剥离及植物再利用的情况说明。根据最新规定应编制表土剥离及利用方案。且根据表土剥离利用编制要求表土最长存放时间不应超过2年。补充说明植</w:t>
            </w:r>
            <w:r>
              <w:rPr>
                <w:rFonts w:hint="eastAsia" w:ascii="宋体" w:hAnsi="宋体" w:eastAsia="宋体"/>
                <w:color w:val="000000"/>
                <w:position w:val="0"/>
                <w:sz w:val="24"/>
                <w:szCs w:val="24"/>
                <w:highlight w:val="none"/>
                <w:lang w:val="en-US" w:eastAsia="zh-CN"/>
              </w:rPr>
              <w:t>物移植再利用是费用由谁负责，应有林地权属及主管部门的意见</w:t>
            </w:r>
          </w:p>
          <w:p w14:paraId="510CF78E">
            <w:pPr>
              <w:numPr>
                <w:ilvl w:val="0"/>
                <w:numId w:val="0"/>
              </w:numPr>
              <w:autoSpaceDE/>
              <w:autoSpaceDN/>
              <w:snapToGrid/>
              <w:spacing w:before="0" w:after="0" w:line="360" w:lineRule="auto"/>
              <w:ind w:right="0" w:firstLine="480" w:firstLineChars="200"/>
              <w:jc w:val="left"/>
              <w:rPr>
                <w:rFonts w:hint="default" w:ascii="宋体" w:hAnsi="宋体" w:eastAsia="宋体"/>
                <w:color w:val="000000"/>
                <w:position w:val="0"/>
                <w:sz w:val="24"/>
                <w:szCs w:val="24"/>
                <w:highlight w:val="none"/>
                <w:lang w:val="en-US" w:eastAsia="zh-CN"/>
              </w:rPr>
            </w:pPr>
            <w:r>
              <w:rPr>
                <w:rFonts w:hint="eastAsia" w:ascii="宋体" w:hAnsi="宋体" w:eastAsia="宋体"/>
                <w:color w:val="000000"/>
                <w:position w:val="0"/>
                <w:sz w:val="24"/>
                <w:szCs w:val="24"/>
                <w:highlight w:val="none"/>
                <w:lang w:val="en-US" w:eastAsia="zh-CN"/>
              </w:rPr>
              <w:t>已修改</w:t>
            </w:r>
          </w:p>
          <w:p w14:paraId="71043FAA">
            <w:pPr>
              <w:numPr>
                <w:ilvl w:val="0"/>
                <w:numId w:val="0"/>
              </w:numPr>
              <w:autoSpaceDE/>
              <w:autoSpaceDN/>
              <w:snapToGrid/>
              <w:spacing w:before="0" w:after="0" w:line="360" w:lineRule="auto"/>
              <w:ind w:right="0" w:firstLine="480" w:firstLineChars="200"/>
              <w:jc w:val="left"/>
              <w:rPr>
                <w:rFonts w:hint="eastAsia" w:ascii="宋体" w:hAnsi="宋体" w:eastAsia="宋体"/>
                <w:color w:val="000000"/>
                <w:position w:val="0"/>
                <w:sz w:val="24"/>
                <w:szCs w:val="24"/>
                <w:lang w:val="en-US" w:eastAsia="zh-CN"/>
              </w:rPr>
            </w:pPr>
            <w:r>
              <w:rPr>
                <w:rFonts w:hint="eastAsia" w:ascii="宋体" w:hAnsi="宋体" w:eastAsia="宋体"/>
                <w:color w:val="000000"/>
                <w:position w:val="0"/>
                <w:sz w:val="24"/>
                <w:szCs w:val="24"/>
                <w:lang w:val="en-US" w:eastAsia="zh-CN"/>
              </w:rPr>
              <w:t>16、复核复垦方向中农村道路，是否应恢复为农村路，改变地类应有权属单位意见。</w:t>
            </w:r>
          </w:p>
          <w:p w14:paraId="1C5947D1">
            <w:pPr>
              <w:numPr>
                <w:ilvl w:val="0"/>
                <w:numId w:val="0"/>
              </w:numPr>
              <w:autoSpaceDE/>
              <w:autoSpaceDN/>
              <w:snapToGrid/>
              <w:spacing w:before="0" w:after="0" w:line="360" w:lineRule="auto"/>
              <w:ind w:right="0" w:firstLine="480" w:firstLineChars="200"/>
              <w:jc w:val="left"/>
              <w:rPr>
                <w:rFonts w:hint="default" w:ascii="宋体" w:hAnsi="宋体" w:eastAsia="宋体"/>
                <w:color w:val="000000"/>
                <w:position w:val="0"/>
                <w:sz w:val="24"/>
                <w:szCs w:val="24"/>
                <w:lang w:val="en-US" w:eastAsia="zh-CN"/>
              </w:rPr>
            </w:pPr>
            <w:r>
              <w:rPr>
                <w:rFonts w:hint="eastAsia" w:ascii="宋体" w:hAnsi="宋体" w:eastAsia="宋体"/>
                <w:color w:val="000000"/>
                <w:position w:val="0"/>
                <w:sz w:val="24"/>
                <w:szCs w:val="24"/>
                <w:lang w:val="en-US" w:eastAsia="zh-CN"/>
              </w:rPr>
              <w:t>已修改</w:t>
            </w:r>
          </w:p>
          <w:p w14:paraId="54D16C89">
            <w:pPr>
              <w:numPr>
                <w:ilvl w:val="0"/>
                <w:numId w:val="0"/>
              </w:numPr>
              <w:autoSpaceDE/>
              <w:autoSpaceDN/>
              <w:snapToGrid/>
              <w:spacing w:before="0" w:after="0" w:line="360" w:lineRule="auto"/>
              <w:ind w:right="0" w:firstLine="480" w:firstLineChars="200"/>
              <w:jc w:val="left"/>
              <w:rPr>
                <w:rFonts w:hint="eastAsia" w:ascii="宋体" w:hAnsi="宋体" w:eastAsia="宋体"/>
                <w:color w:val="000000"/>
                <w:position w:val="0"/>
                <w:sz w:val="24"/>
                <w:szCs w:val="24"/>
                <w:lang w:val="en-US" w:eastAsia="zh-CN"/>
              </w:rPr>
            </w:pPr>
            <w:r>
              <w:rPr>
                <w:rFonts w:hint="eastAsia" w:ascii="宋体" w:hAnsi="宋体" w:eastAsia="宋体"/>
                <w:color w:val="000000"/>
                <w:position w:val="0"/>
                <w:sz w:val="24"/>
                <w:szCs w:val="24"/>
                <w:lang w:val="en-US" w:eastAsia="zh-CN"/>
              </w:rPr>
              <w:t>17、补充林地树种类情况说明，是否有珍稀植物等。</w:t>
            </w:r>
          </w:p>
          <w:p w14:paraId="5F694333">
            <w:pPr>
              <w:numPr>
                <w:ilvl w:val="0"/>
                <w:numId w:val="0"/>
              </w:numPr>
              <w:autoSpaceDE/>
              <w:autoSpaceDN/>
              <w:snapToGrid/>
              <w:spacing w:before="0" w:after="0" w:line="360" w:lineRule="auto"/>
              <w:ind w:right="0" w:firstLine="480" w:firstLineChars="200"/>
              <w:jc w:val="left"/>
              <w:rPr>
                <w:rFonts w:hint="default" w:ascii="宋体" w:hAnsi="宋体" w:eastAsia="宋体"/>
                <w:color w:val="000000"/>
                <w:position w:val="0"/>
                <w:sz w:val="24"/>
                <w:szCs w:val="24"/>
                <w:lang w:val="en-US" w:eastAsia="zh-CN"/>
              </w:rPr>
            </w:pPr>
            <w:r>
              <w:rPr>
                <w:rFonts w:hint="eastAsia" w:ascii="宋体" w:hAnsi="宋体" w:eastAsia="宋体"/>
                <w:color w:val="000000"/>
                <w:position w:val="0"/>
                <w:sz w:val="24"/>
                <w:szCs w:val="24"/>
                <w:lang w:val="en-US" w:eastAsia="zh-CN"/>
              </w:rPr>
              <w:t>已说明</w:t>
            </w:r>
          </w:p>
          <w:p w14:paraId="48BFA454">
            <w:pPr>
              <w:numPr>
                <w:ilvl w:val="0"/>
                <w:numId w:val="0"/>
              </w:numPr>
              <w:autoSpaceDE/>
              <w:autoSpaceDN/>
              <w:snapToGrid/>
              <w:spacing w:before="0" w:after="0" w:line="360" w:lineRule="auto"/>
              <w:ind w:right="0" w:firstLine="480" w:firstLineChars="200"/>
              <w:jc w:val="left"/>
              <w:rPr>
                <w:rFonts w:hint="eastAsia" w:ascii="宋体" w:hAnsi="宋体" w:eastAsia="宋体"/>
                <w:color w:val="000000"/>
                <w:position w:val="0"/>
                <w:sz w:val="24"/>
                <w:szCs w:val="24"/>
                <w:lang w:val="en-US" w:eastAsia="zh-CN"/>
              </w:rPr>
            </w:pPr>
            <w:r>
              <w:rPr>
                <w:rFonts w:hint="eastAsia" w:ascii="宋体" w:hAnsi="宋体" w:eastAsia="宋体"/>
                <w:color w:val="000000"/>
                <w:position w:val="0"/>
                <w:sz w:val="24"/>
                <w:szCs w:val="24"/>
                <w:lang w:val="en-US" w:eastAsia="zh-CN"/>
              </w:rPr>
              <w:t>18、P74敏感目标保护分析中，补充说明是否涉及河湖、库及其保护区范围。</w:t>
            </w:r>
          </w:p>
          <w:p w14:paraId="006880CF">
            <w:pPr>
              <w:numPr>
                <w:ilvl w:val="0"/>
                <w:numId w:val="0"/>
              </w:numPr>
              <w:autoSpaceDE/>
              <w:autoSpaceDN/>
              <w:snapToGrid/>
              <w:spacing w:before="0" w:after="0" w:line="360" w:lineRule="auto"/>
              <w:ind w:right="0" w:firstLine="480" w:firstLineChars="200"/>
              <w:jc w:val="left"/>
              <w:rPr>
                <w:rFonts w:hint="default" w:ascii="宋体" w:hAnsi="宋体" w:eastAsia="宋体"/>
                <w:color w:val="000000"/>
                <w:position w:val="0"/>
                <w:sz w:val="24"/>
                <w:szCs w:val="24"/>
                <w:lang w:val="en-US" w:eastAsia="zh-CN"/>
              </w:rPr>
            </w:pPr>
            <w:r>
              <w:rPr>
                <w:rFonts w:hint="eastAsia" w:ascii="宋体" w:hAnsi="宋体" w:eastAsia="宋体"/>
                <w:color w:val="000000"/>
                <w:position w:val="0"/>
                <w:sz w:val="24"/>
                <w:szCs w:val="24"/>
                <w:lang w:val="en-US" w:eastAsia="zh-CN"/>
              </w:rPr>
              <w:t>已补充</w:t>
            </w:r>
          </w:p>
          <w:p w14:paraId="4574D8A9">
            <w:pPr>
              <w:numPr>
                <w:ilvl w:val="0"/>
                <w:numId w:val="0"/>
              </w:numPr>
              <w:autoSpaceDE/>
              <w:autoSpaceDN/>
              <w:snapToGrid/>
              <w:spacing w:before="0" w:after="0" w:line="360" w:lineRule="auto"/>
              <w:ind w:right="0" w:firstLine="480" w:firstLineChars="200"/>
              <w:jc w:val="left"/>
              <w:rPr>
                <w:rFonts w:hint="eastAsia" w:ascii="宋体" w:hAnsi="宋体" w:eastAsia="宋体"/>
                <w:color w:val="000000"/>
                <w:position w:val="0"/>
                <w:sz w:val="24"/>
                <w:szCs w:val="24"/>
                <w:highlight w:val="none"/>
                <w:lang w:val="en-US" w:eastAsia="zh-CN"/>
              </w:rPr>
            </w:pPr>
            <w:bookmarkStart w:id="0" w:name="_Toc1289"/>
            <w:r>
              <w:rPr>
                <w:rFonts w:hint="eastAsia" w:ascii="宋体" w:hAnsi="宋体" w:eastAsia="宋体"/>
                <w:color w:val="000000"/>
                <w:position w:val="0"/>
                <w:sz w:val="24"/>
                <w:szCs w:val="24"/>
                <w:highlight w:val="none"/>
                <w:lang w:val="en-US" w:eastAsia="zh-CN"/>
              </w:rPr>
              <w:t>19、P74补充说明表土剥离利用方案编制及批复情况，并按方案说明利用情况完善表土剥离利用情况说明，表土存放时间最长应不超过3年，根据批复的表土剥离利用方案本方案此部分说明并复核土资源平衡分析。</w:t>
            </w:r>
          </w:p>
          <w:p w14:paraId="4E62F74E">
            <w:pPr>
              <w:numPr>
                <w:ilvl w:val="0"/>
                <w:numId w:val="0"/>
              </w:numPr>
              <w:autoSpaceDE/>
              <w:autoSpaceDN/>
              <w:snapToGrid/>
              <w:spacing w:before="0" w:after="0" w:line="360" w:lineRule="auto"/>
              <w:ind w:right="0" w:firstLine="480" w:firstLineChars="200"/>
              <w:jc w:val="left"/>
              <w:rPr>
                <w:rFonts w:hint="default" w:ascii="宋体" w:hAnsi="宋体" w:eastAsia="宋体"/>
                <w:color w:val="000000"/>
                <w:position w:val="0"/>
                <w:sz w:val="24"/>
                <w:szCs w:val="24"/>
                <w:highlight w:val="none"/>
                <w:lang w:val="en-US" w:eastAsia="zh-CN"/>
              </w:rPr>
            </w:pPr>
            <w:r>
              <w:rPr>
                <w:rFonts w:hint="eastAsia" w:ascii="宋体" w:hAnsi="宋体" w:eastAsia="宋体"/>
                <w:color w:val="000000"/>
                <w:position w:val="0"/>
                <w:sz w:val="24"/>
                <w:szCs w:val="24"/>
                <w:highlight w:val="none"/>
                <w:lang w:val="en-US" w:eastAsia="zh-CN"/>
              </w:rPr>
              <w:t>已说明</w:t>
            </w:r>
          </w:p>
          <w:p w14:paraId="5A043409">
            <w:pPr>
              <w:numPr>
                <w:ilvl w:val="0"/>
                <w:numId w:val="0"/>
              </w:numPr>
              <w:autoSpaceDE/>
              <w:autoSpaceDN/>
              <w:snapToGrid/>
              <w:spacing w:before="0" w:after="0" w:line="360" w:lineRule="auto"/>
              <w:ind w:right="0" w:firstLine="480" w:firstLineChars="200"/>
              <w:jc w:val="left"/>
              <w:rPr>
                <w:rFonts w:hint="eastAsia" w:ascii="宋体" w:hAnsi="宋体" w:eastAsia="宋体"/>
                <w:color w:val="000000"/>
                <w:position w:val="0"/>
                <w:sz w:val="24"/>
                <w:szCs w:val="24"/>
                <w:highlight w:val="none"/>
                <w:lang w:val="en-US" w:eastAsia="zh-CN"/>
              </w:rPr>
            </w:pPr>
            <w:r>
              <w:rPr>
                <w:rFonts w:hint="eastAsia" w:ascii="宋体" w:hAnsi="宋体" w:eastAsia="宋体"/>
                <w:color w:val="000000"/>
                <w:position w:val="0"/>
                <w:sz w:val="24"/>
                <w:szCs w:val="24"/>
                <w:highlight w:val="none"/>
                <w:lang w:val="en-US" w:eastAsia="zh-CN"/>
              </w:rPr>
              <w:t>20、因本方案涉及林地，补充植被移植利用的情况说明。</w:t>
            </w:r>
          </w:p>
          <w:p w14:paraId="6A9CA8EA">
            <w:pPr>
              <w:numPr>
                <w:ilvl w:val="0"/>
                <w:numId w:val="0"/>
              </w:numPr>
              <w:autoSpaceDE/>
              <w:autoSpaceDN/>
              <w:snapToGrid/>
              <w:spacing w:before="0" w:after="0" w:line="360" w:lineRule="auto"/>
              <w:ind w:right="0" w:firstLine="480" w:firstLineChars="200"/>
              <w:jc w:val="left"/>
              <w:rPr>
                <w:rFonts w:hint="default" w:ascii="宋体" w:hAnsi="宋体" w:eastAsia="宋体"/>
                <w:color w:val="000000"/>
                <w:position w:val="0"/>
                <w:sz w:val="24"/>
                <w:szCs w:val="24"/>
                <w:highlight w:val="none"/>
                <w:lang w:val="en-US" w:eastAsia="zh-CN"/>
              </w:rPr>
            </w:pPr>
            <w:r>
              <w:rPr>
                <w:rFonts w:hint="eastAsia" w:ascii="宋体" w:hAnsi="宋体" w:eastAsia="宋体"/>
                <w:color w:val="000000"/>
                <w:position w:val="0"/>
                <w:sz w:val="24"/>
                <w:szCs w:val="24"/>
                <w:highlight w:val="none"/>
                <w:lang w:val="en-US" w:eastAsia="zh-CN"/>
              </w:rPr>
              <w:t>已补充</w:t>
            </w:r>
          </w:p>
          <w:p w14:paraId="30B63FDC">
            <w:pPr>
              <w:numPr>
                <w:ilvl w:val="0"/>
                <w:numId w:val="0"/>
              </w:numPr>
              <w:autoSpaceDE/>
              <w:autoSpaceDN/>
              <w:snapToGrid/>
              <w:spacing w:before="0" w:after="0" w:line="360" w:lineRule="auto"/>
              <w:ind w:right="0" w:firstLine="480" w:firstLineChars="200"/>
              <w:jc w:val="left"/>
              <w:rPr>
                <w:rFonts w:hint="eastAsia" w:ascii="宋体" w:hAnsi="宋体" w:eastAsia="宋体"/>
                <w:color w:val="000000"/>
                <w:position w:val="0"/>
                <w:sz w:val="24"/>
                <w:szCs w:val="24"/>
                <w:lang w:val="en-US" w:eastAsia="zh-CN"/>
              </w:rPr>
            </w:pPr>
            <w:r>
              <w:rPr>
                <w:rFonts w:hint="eastAsia" w:ascii="宋体" w:hAnsi="宋体" w:eastAsia="宋体"/>
                <w:color w:val="000000"/>
                <w:position w:val="0"/>
                <w:sz w:val="24"/>
                <w:szCs w:val="24"/>
                <w:lang w:val="en-US" w:eastAsia="zh-CN"/>
              </w:rPr>
              <w:t xml:space="preserve">21、完善工程措施设计，补充表土回覆面积的组成，各组成部分面积是多少，边坡处理由谁负责，达到什么标准，树穴规格是为 </w:t>
            </w:r>
            <w:r>
              <w:rPr>
                <w:rFonts w:hint="default" w:ascii="宋体" w:hAnsi="宋体" w:eastAsia="宋体"/>
                <w:color w:val="000000"/>
                <w:position w:val="0"/>
                <w:sz w:val="24"/>
                <w:szCs w:val="24"/>
                <w:lang w:val="en-US" w:eastAsia="zh-CN"/>
              </w:rPr>
              <w:t>0.5m*0.5m*0.5m</w:t>
            </w:r>
            <w:r>
              <w:rPr>
                <w:rFonts w:hint="eastAsia" w:ascii="宋体" w:hAnsi="宋体" w:eastAsia="宋体"/>
                <w:color w:val="000000"/>
                <w:position w:val="0"/>
                <w:sz w:val="24"/>
                <w:szCs w:val="24"/>
                <w:lang w:val="en-US" w:eastAsia="zh-CN"/>
              </w:rPr>
              <w:t>，覆土厚度30cm是否满足要求。说明共有几个平台，各平台长度、宽度，然后根据设计标准计算出相应的工程量。补充植槽及填土的工程量，另补充说明各平台是否设置排水沟。根据工程设计完善工程量计算过程。</w:t>
            </w:r>
          </w:p>
          <w:p w14:paraId="34C90233">
            <w:pPr>
              <w:numPr>
                <w:ilvl w:val="0"/>
                <w:numId w:val="0"/>
              </w:numPr>
              <w:autoSpaceDE/>
              <w:autoSpaceDN/>
              <w:snapToGrid/>
              <w:spacing w:before="0" w:after="0" w:line="360" w:lineRule="auto"/>
              <w:ind w:right="0" w:firstLine="480" w:firstLineChars="200"/>
              <w:jc w:val="left"/>
              <w:rPr>
                <w:rFonts w:hint="default" w:ascii="宋体" w:hAnsi="宋体" w:eastAsia="宋体"/>
                <w:color w:val="000000"/>
                <w:position w:val="0"/>
                <w:sz w:val="24"/>
                <w:szCs w:val="24"/>
                <w:lang w:val="en-US" w:eastAsia="zh-CN"/>
              </w:rPr>
            </w:pPr>
            <w:r>
              <w:rPr>
                <w:rFonts w:hint="eastAsia" w:ascii="宋体" w:hAnsi="宋体" w:eastAsia="宋体"/>
                <w:color w:val="000000"/>
                <w:position w:val="0"/>
                <w:sz w:val="24"/>
                <w:szCs w:val="24"/>
                <w:lang w:val="en-US" w:eastAsia="zh-CN"/>
              </w:rPr>
              <w:t>已修改并重新计算工程量</w:t>
            </w:r>
          </w:p>
          <w:p w14:paraId="5EBB62C9">
            <w:pPr>
              <w:numPr>
                <w:ilvl w:val="0"/>
                <w:numId w:val="0"/>
              </w:numPr>
              <w:autoSpaceDE/>
              <w:autoSpaceDN/>
              <w:snapToGrid/>
              <w:spacing w:before="0" w:after="0" w:line="360" w:lineRule="auto"/>
              <w:ind w:right="0" w:firstLine="480" w:firstLineChars="200"/>
              <w:jc w:val="left"/>
              <w:rPr>
                <w:rFonts w:hint="eastAsia" w:ascii="宋体" w:hAnsi="宋体" w:eastAsia="宋体"/>
                <w:color w:val="0000FF"/>
                <w:position w:val="0"/>
                <w:sz w:val="24"/>
                <w:szCs w:val="24"/>
                <w:lang w:val="en-US" w:eastAsia="zh-CN"/>
              </w:rPr>
            </w:pPr>
            <w:r>
              <w:rPr>
                <w:rFonts w:hint="eastAsia" w:ascii="宋体" w:hAnsi="宋体" w:eastAsia="宋体"/>
                <w:color w:val="000000"/>
                <w:position w:val="0"/>
                <w:sz w:val="24"/>
                <w:szCs w:val="24"/>
                <w:lang w:val="en-US" w:eastAsia="zh-CN"/>
              </w:rPr>
              <w:t>22、</w:t>
            </w:r>
            <w:r>
              <w:rPr>
                <w:rFonts w:hint="eastAsia" w:ascii="宋体" w:hAnsi="宋体" w:eastAsia="宋体"/>
                <w:color w:val="0000FF"/>
                <w:position w:val="0"/>
                <w:sz w:val="24"/>
                <w:szCs w:val="24"/>
                <w:lang w:val="en-US" w:eastAsia="zh-CN"/>
              </w:rPr>
              <w:t>补充说明林地树木移出工程由谁负责。</w:t>
            </w:r>
          </w:p>
          <w:p w14:paraId="6F8B5A2B">
            <w:pPr>
              <w:numPr>
                <w:ilvl w:val="0"/>
                <w:numId w:val="0"/>
              </w:numPr>
              <w:autoSpaceDE/>
              <w:autoSpaceDN/>
              <w:snapToGrid/>
              <w:spacing w:before="0" w:after="0" w:line="360" w:lineRule="auto"/>
              <w:ind w:right="0" w:firstLine="480" w:firstLineChars="200"/>
              <w:jc w:val="left"/>
              <w:rPr>
                <w:rFonts w:hint="default" w:ascii="宋体" w:hAnsi="宋体" w:eastAsia="宋体"/>
                <w:color w:val="0000FF"/>
                <w:position w:val="0"/>
                <w:sz w:val="24"/>
                <w:szCs w:val="24"/>
                <w:lang w:val="en-US" w:eastAsia="zh-CN"/>
              </w:rPr>
            </w:pPr>
            <w:r>
              <w:rPr>
                <w:rFonts w:hint="eastAsia" w:ascii="宋体" w:hAnsi="宋体" w:eastAsia="宋体"/>
                <w:color w:val="000000"/>
                <w:position w:val="0"/>
                <w:sz w:val="24"/>
                <w:szCs w:val="24"/>
                <w:lang w:val="en-US" w:eastAsia="zh-CN"/>
              </w:rPr>
              <w:t>已补充说</w:t>
            </w:r>
            <w:r>
              <w:rPr>
                <w:rFonts w:hint="eastAsia" w:ascii="宋体" w:hAnsi="宋体" w:eastAsia="宋体"/>
                <w:color w:val="0000FF"/>
                <w:position w:val="0"/>
                <w:sz w:val="24"/>
                <w:szCs w:val="24"/>
                <w:lang w:val="en-US" w:eastAsia="zh-CN"/>
              </w:rPr>
              <w:t>明在哪页说明的p77</w:t>
            </w:r>
          </w:p>
          <w:p w14:paraId="522067DF">
            <w:pPr>
              <w:numPr>
                <w:ilvl w:val="0"/>
                <w:numId w:val="0"/>
              </w:numPr>
              <w:autoSpaceDE/>
              <w:autoSpaceDN/>
              <w:snapToGrid/>
              <w:spacing w:before="0" w:after="0" w:line="360" w:lineRule="auto"/>
              <w:ind w:right="0" w:firstLine="480" w:firstLineChars="200"/>
              <w:jc w:val="left"/>
              <w:rPr>
                <w:rFonts w:hint="eastAsia" w:ascii="宋体" w:hAnsi="宋体" w:eastAsia="宋体"/>
                <w:color w:val="0000FF"/>
                <w:position w:val="0"/>
                <w:sz w:val="24"/>
                <w:szCs w:val="24"/>
                <w:lang w:val="en-US" w:eastAsia="zh-CN"/>
              </w:rPr>
            </w:pPr>
            <w:r>
              <w:rPr>
                <w:rFonts w:hint="eastAsia" w:ascii="宋体" w:hAnsi="宋体" w:eastAsia="宋体"/>
                <w:color w:val="0000FF"/>
                <w:position w:val="0"/>
                <w:sz w:val="24"/>
                <w:szCs w:val="24"/>
                <w:lang w:val="en-US" w:eastAsia="zh-CN"/>
              </w:rPr>
              <w:t>23、根据边开采、边修复措施复核P95实施计划。</w:t>
            </w:r>
          </w:p>
          <w:p w14:paraId="59283E3B">
            <w:pPr>
              <w:numPr>
                <w:ilvl w:val="0"/>
                <w:numId w:val="0"/>
              </w:numPr>
              <w:autoSpaceDE/>
              <w:autoSpaceDN/>
              <w:snapToGrid/>
              <w:spacing w:before="0" w:after="0" w:line="360" w:lineRule="auto"/>
              <w:ind w:right="0" w:firstLine="480" w:firstLineChars="200"/>
              <w:jc w:val="left"/>
              <w:rPr>
                <w:rFonts w:hint="default" w:ascii="宋体" w:hAnsi="宋体" w:eastAsia="宋体"/>
                <w:color w:val="000000"/>
                <w:position w:val="0"/>
                <w:sz w:val="24"/>
                <w:szCs w:val="24"/>
                <w:lang w:val="en-US" w:eastAsia="zh-CN"/>
              </w:rPr>
            </w:pPr>
            <w:r>
              <w:rPr>
                <w:rFonts w:hint="eastAsia" w:ascii="宋体" w:hAnsi="宋体" w:eastAsia="宋体"/>
                <w:color w:val="000000"/>
                <w:position w:val="0"/>
                <w:sz w:val="24"/>
                <w:szCs w:val="24"/>
                <w:lang w:val="en-US" w:eastAsia="zh-CN"/>
              </w:rPr>
              <w:t>已修改</w:t>
            </w:r>
          </w:p>
          <w:bookmarkEnd w:id="0"/>
          <w:p w14:paraId="71FF6DD8">
            <w:pPr>
              <w:numPr>
                <w:ilvl w:val="0"/>
                <w:numId w:val="0"/>
              </w:numPr>
              <w:autoSpaceDE/>
              <w:autoSpaceDN/>
              <w:snapToGrid/>
              <w:spacing w:before="0" w:after="0" w:line="360" w:lineRule="auto"/>
              <w:ind w:right="0" w:firstLine="480" w:firstLineChars="200"/>
              <w:jc w:val="left"/>
              <w:rPr>
                <w:rFonts w:hint="eastAsia" w:ascii="宋体" w:hAnsi="宋体" w:eastAsia="宋体"/>
                <w:color w:val="000000"/>
                <w:position w:val="0"/>
                <w:sz w:val="24"/>
                <w:szCs w:val="24"/>
                <w:lang w:val="en-US" w:eastAsia="zh-CN"/>
              </w:rPr>
            </w:pPr>
            <w:r>
              <w:rPr>
                <w:rFonts w:hint="eastAsia" w:ascii="宋体" w:hAnsi="宋体" w:eastAsia="宋体"/>
                <w:color w:val="000000"/>
                <w:position w:val="0"/>
                <w:sz w:val="24"/>
                <w:szCs w:val="24"/>
                <w:lang w:val="en-US" w:eastAsia="zh-CN"/>
              </w:rPr>
              <w:t>24、管护费用低，一般正常情况应为4000元左右。</w:t>
            </w:r>
          </w:p>
          <w:p w14:paraId="18044664">
            <w:pPr>
              <w:numPr>
                <w:ilvl w:val="0"/>
                <w:numId w:val="0"/>
              </w:numPr>
              <w:autoSpaceDE/>
              <w:autoSpaceDN/>
              <w:snapToGrid/>
              <w:spacing w:before="0" w:after="0" w:line="360" w:lineRule="auto"/>
              <w:ind w:right="0" w:firstLine="480" w:firstLineChars="200"/>
              <w:jc w:val="left"/>
              <w:rPr>
                <w:rFonts w:hint="default" w:ascii="宋体" w:hAnsi="宋体" w:eastAsia="宋体"/>
                <w:color w:val="000000"/>
                <w:position w:val="0"/>
                <w:sz w:val="24"/>
                <w:szCs w:val="24"/>
                <w:lang w:val="en-US" w:eastAsia="zh-CN"/>
              </w:rPr>
            </w:pPr>
            <w:r>
              <w:rPr>
                <w:rFonts w:hint="eastAsia" w:ascii="宋体" w:hAnsi="宋体" w:eastAsia="宋体"/>
                <w:color w:val="000000"/>
                <w:position w:val="0"/>
                <w:sz w:val="24"/>
                <w:szCs w:val="24"/>
                <w:lang w:val="en-US" w:eastAsia="zh-CN"/>
              </w:rPr>
              <w:t>已修改</w:t>
            </w:r>
          </w:p>
          <w:p w14:paraId="4CCB1827">
            <w:pPr>
              <w:numPr>
                <w:ilvl w:val="0"/>
                <w:numId w:val="0"/>
              </w:numPr>
              <w:autoSpaceDE/>
              <w:autoSpaceDN/>
              <w:snapToGrid/>
              <w:spacing w:before="0" w:after="0" w:line="360" w:lineRule="auto"/>
              <w:ind w:right="0" w:firstLine="480" w:firstLineChars="200"/>
              <w:jc w:val="left"/>
              <w:rPr>
                <w:rFonts w:hint="default" w:ascii="宋体" w:hAnsi="宋体" w:eastAsia="宋体"/>
                <w:color w:val="0000FF"/>
                <w:position w:val="0"/>
                <w:sz w:val="24"/>
                <w:szCs w:val="24"/>
                <w:lang w:val="en-US" w:eastAsia="zh-CN"/>
              </w:rPr>
            </w:pPr>
            <w:r>
              <w:rPr>
                <w:rFonts w:hint="eastAsia" w:ascii="宋体" w:hAnsi="宋体" w:eastAsia="宋体"/>
                <w:color w:val="000000"/>
                <w:position w:val="0"/>
                <w:sz w:val="24"/>
                <w:szCs w:val="24"/>
                <w:lang w:val="en-US" w:eastAsia="zh-CN"/>
              </w:rPr>
              <w:t>25、补充动态投资，</w:t>
            </w:r>
            <w:r>
              <w:rPr>
                <w:rFonts w:hint="eastAsia" w:ascii="宋体" w:hAnsi="宋体" w:eastAsia="宋体"/>
                <w:color w:val="0000FF"/>
                <w:position w:val="0"/>
                <w:sz w:val="24"/>
                <w:szCs w:val="24"/>
                <w:lang w:val="en-US" w:eastAsia="zh-CN"/>
              </w:rPr>
              <w:t>在预备费的说明中应说明物价上涨指数是多少 ，补充动态投资计算过程</w:t>
            </w:r>
          </w:p>
          <w:p w14:paraId="3604EDD1">
            <w:pPr>
              <w:numPr>
                <w:ilvl w:val="0"/>
                <w:numId w:val="0"/>
              </w:numPr>
              <w:autoSpaceDE/>
              <w:autoSpaceDN/>
              <w:snapToGrid/>
              <w:spacing w:before="0" w:after="0" w:line="360" w:lineRule="auto"/>
              <w:ind w:right="0" w:firstLine="480" w:firstLineChars="200"/>
              <w:jc w:val="left"/>
              <w:rPr>
                <w:rFonts w:hint="default" w:ascii="宋体" w:hAnsi="宋体" w:eastAsia="宋体"/>
                <w:color w:val="000000"/>
                <w:position w:val="0"/>
                <w:sz w:val="24"/>
                <w:szCs w:val="24"/>
                <w:lang w:val="en-US" w:eastAsia="zh-CN"/>
              </w:rPr>
            </w:pPr>
            <w:r>
              <w:rPr>
                <w:rFonts w:hint="eastAsia" w:ascii="宋体" w:hAnsi="宋体" w:eastAsia="宋体"/>
                <w:color w:val="000000"/>
                <w:position w:val="0"/>
                <w:sz w:val="24"/>
                <w:szCs w:val="24"/>
                <w:lang w:val="en-US" w:eastAsia="zh-CN"/>
              </w:rPr>
              <w:t>已补充</w:t>
            </w:r>
          </w:p>
          <w:p w14:paraId="210869D4">
            <w:pPr>
              <w:numPr>
                <w:ilvl w:val="0"/>
                <w:numId w:val="0"/>
              </w:numPr>
              <w:autoSpaceDE/>
              <w:autoSpaceDN/>
              <w:snapToGrid/>
              <w:spacing w:before="0" w:after="0" w:line="360" w:lineRule="auto"/>
              <w:ind w:right="0" w:firstLine="480" w:firstLineChars="200"/>
              <w:jc w:val="left"/>
              <w:rPr>
                <w:rFonts w:hint="eastAsia" w:ascii="宋体" w:hAnsi="宋体" w:eastAsia="宋体"/>
                <w:color w:val="000000"/>
                <w:position w:val="0"/>
                <w:sz w:val="24"/>
                <w:szCs w:val="24"/>
                <w:lang w:val="en-US" w:eastAsia="zh-CN"/>
              </w:rPr>
            </w:pPr>
            <w:r>
              <w:rPr>
                <w:rFonts w:hint="eastAsia" w:ascii="宋体" w:hAnsi="宋体" w:eastAsia="宋体"/>
                <w:color w:val="000000"/>
                <w:position w:val="0"/>
                <w:sz w:val="24"/>
                <w:szCs w:val="24"/>
                <w:lang w:val="en-US" w:eastAsia="zh-CN"/>
              </w:rPr>
              <w:t>26、附件中补充方案编用地协议、材料价格信息、</w:t>
            </w:r>
            <w:r>
              <w:rPr>
                <w:rFonts w:hint="eastAsia" w:ascii="宋体" w:hAnsi="宋体" w:eastAsia="宋体"/>
                <w:color w:val="0000FF"/>
                <w:position w:val="0"/>
                <w:sz w:val="24"/>
                <w:szCs w:val="24"/>
                <w:lang w:val="en-US" w:eastAsia="zh-CN"/>
              </w:rPr>
              <w:t>表土剥离利用方案批复意见、权属单位意见（有争议的 两家均应有）、土壤检测报告</w:t>
            </w:r>
            <w:r>
              <w:rPr>
                <w:rFonts w:hint="eastAsia" w:ascii="宋体" w:hAnsi="宋体" w:eastAsia="宋体"/>
                <w:color w:val="000000"/>
                <w:position w:val="0"/>
                <w:sz w:val="24"/>
                <w:szCs w:val="24"/>
                <w:lang w:val="en-US" w:eastAsia="zh-CN"/>
              </w:rPr>
              <w:t>、公众调查问卷</w:t>
            </w:r>
            <w:r>
              <w:rPr>
                <w:rFonts w:hint="eastAsia" w:ascii="宋体" w:hAnsi="宋体" w:eastAsia="宋体"/>
                <w:color w:val="0000FF"/>
                <w:position w:val="0"/>
                <w:sz w:val="24"/>
                <w:szCs w:val="24"/>
                <w:lang w:val="en-US" w:eastAsia="zh-CN"/>
              </w:rPr>
              <w:t>（复垦方向好几个说明是耕地呢）</w:t>
            </w:r>
            <w:r>
              <w:rPr>
                <w:rFonts w:hint="eastAsia" w:ascii="宋体" w:hAnsi="宋体" w:eastAsia="宋体"/>
                <w:color w:val="000000"/>
                <w:position w:val="0"/>
                <w:sz w:val="24"/>
                <w:szCs w:val="24"/>
                <w:lang w:val="en-US" w:eastAsia="zh-CN"/>
              </w:rPr>
              <w:t>、项目区现状照片、</w:t>
            </w:r>
            <w:r>
              <w:rPr>
                <w:rFonts w:hint="eastAsia" w:ascii="宋体" w:hAnsi="宋体" w:eastAsia="宋体"/>
                <w:color w:val="0000FF"/>
                <w:position w:val="0"/>
                <w:sz w:val="24"/>
                <w:szCs w:val="24"/>
                <w:lang w:val="en-US" w:eastAsia="zh-CN"/>
              </w:rPr>
              <w:t>开发利用方案批复； 矿产资源储量核实报告、</w:t>
            </w:r>
            <w:r>
              <w:rPr>
                <w:rFonts w:hint="eastAsia" w:ascii="宋体" w:hAnsi="宋体" w:eastAsia="宋体"/>
                <w:color w:val="000000"/>
                <w:position w:val="0"/>
                <w:sz w:val="24"/>
                <w:szCs w:val="24"/>
                <w:lang w:val="en-US" w:eastAsia="zh-CN"/>
              </w:rPr>
              <w:t>公众参与调查表</w:t>
            </w:r>
          </w:p>
          <w:p w14:paraId="07494EA7">
            <w:pPr>
              <w:numPr>
                <w:ilvl w:val="0"/>
                <w:numId w:val="0"/>
              </w:numPr>
              <w:autoSpaceDE/>
              <w:autoSpaceDN/>
              <w:snapToGrid/>
              <w:spacing w:before="0" w:after="0" w:line="360" w:lineRule="auto"/>
              <w:ind w:right="0" w:firstLine="480" w:firstLineChars="200"/>
              <w:jc w:val="left"/>
              <w:rPr>
                <w:rFonts w:hint="eastAsia" w:ascii="宋体" w:hAnsi="宋体" w:eastAsia="宋体"/>
                <w:color w:val="000000"/>
                <w:position w:val="0"/>
                <w:sz w:val="24"/>
                <w:szCs w:val="24"/>
                <w:lang w:val="en-US" w:eastAsia="zh-CN"/>
              </w:rPr>
            </w:pPr>
            <w:r>
              <w:rPr>
                <w:rFonts w:hint="eastAsia" w:ascii="宋体" w:hAnsi="宋体" w:eastAsia="宋体"/>
                <w:color w:val="000000"/>
                <w:position w:val="0"/>
                <w:sz w:val="24"/>
                <w:szCs w:val="24"/>
                <w:lang w:val="en-US" w:eastAsia="zh-CN"/>
              </w:rPr>
              <w:t>27、矿区生态修复方案编制信息表编制人员签字</w:t>
            </w:r>
          </w:p>
          <w:p w14:paraId="6383E4EE">
            <w:pPr>
              <w:numPr>
                <w:ilvl w:val="0"/>
                <w:numId w:val="0"/>
              </w:numPr>
              <w:autoSpaceDE/>
              <w:autoSpaceDN/>
              <w:snapToGrid/>
              <w:spacing w:before="0" w:after="0" w:line="360" w:lineRule="auto"/>
              <w:ind w:right="0" w:firstLine="480" w:firstLineChars="200"/>
              <w:jc w:val="left"/>
              <w:rPr>
                <w:rFonts w:hint="default" w:ascii="宋体" w:hAnsi="宋体" w:eastAsia="宋体"/>
                <w:color w:val="0000FF"/>
                <w:position w:val="0"/>
                <w:sz w:val="24"/>
                <w:szCs w:val="24"/>
                <w:lang w:val="en-US" w:eastAsia="zh-CN"/>
              </w:rPr>
            </w:pPr>
            <w:r>
              <w:rPr>
                <w:rFonts w:hint="eastAsia" w:ascii="宋体" w:hAnsi="宋体" w:eastAsia="宋体"/>
                <w:color w:val="000000"/>
                <w:position w:val="0"/>
                <w:sz w:val="24"/>
                <w:szCs w:val="24"/>
                <w:lang w:val="en-US" w:eastAsia="zh-CN"/>
              </w:rPr>
              <w:t>28、补充完善附件、附图。</w:t>
            </w:r>
            <w:r>
              <w:rPr>
                <w:rFonts w:hint="eastAsia" w:ascii="宋体" w:hAnsi="宋体" w:eastAsia="宋体"/>
                <w:color w:val="0000FF"/>
                <w:position w:val="0"/>
                <w:sz w:val="24"/>
                <w:szCs w:val="24"/>
                <w:lang w:val="en-US" w:eastAsia="zh-CN"/>
              </w:rPr>
              <w:t>正式出报告时图应有当地自规相关部门的盖章，完善签字、盖章及日期的填写。</w:t>
            </w:r>
          </w:p>
          <w:p w14:paraId="2BF65929">
            <w:pPr>
              <w:numPr>
                <w:ilvl w:val="0"/>
                <w:numId w:val="0"/>
              </w:numPr>
              <w:autoSpaceDE/>
              <w:autoSpaceDN/>
              <w:snapToGrid/>
              <w:spacing w:before="0" w:after="0" w:line="360" w:lineRule="auto"/>
              <w:ind w:right="0" w:firstLine="560" w:firstLineChars="200"/>
              <w:jc w:val="left"/>
              <w:rPr>
                <w:rFonts w:hint="default" w:ascii="Times New Roman" w:hAnsi="Times New Roman" w:eastAsia="仿宋" w:cs="仿宋"/>
                <w:color w:val="auto"/>
                <w:sz w:val="28"/>
                <w:lang w:val="en-US" w:eastAsia="zh-CN"/>
              </w:rPr>
            </w:pPr>
          </w:p>
        </w:tc>
      </w:tr>
    </w:tbl>
    <w:p w14:paraId="6D39954F">
      <w:pPr>
        <w:numPr>
          <w:ilvl w:val="0"/>
          <w:numId w:val="0"/>
        </w:numPr>
        <w:autoSpaceDE/>
        <w:autoSpaceDN/>
        <w:snapToGrid w:val="0"/>
        <w:spacing w:before="0" w:after="200" w:line="240" w:lineRule="auto"/>
        <w:ind w:right="0" w:firstLine="0"/>
        <w:jc w:val="left"/>
        <w:rPr>
          <w:rFonts w:hint="default" w:ascii="Tahoma" w:hAnsi="Tahoma" w:eastAsia="Tahoma"/>
          <w:color w:val="auto"/>
          <w:position w:val="0"/>
          <w:sz w:val="22"/>
          <w:szCs w:val="22"/>
        </w:rPr>
      </w:pPr>
    </w:p>
    <w:sectPr>
      <w:pgSz w:w="11906" w:h="16838"/>
      <w:pgMar w:top="1383" w:right="1800" w:bottom="1383" w:left="1800" w:header="708" w:footer="708" w:gutter="0"/>
      <w:pgNumType w:fmt="decimal"/>
      <w:cols w:space="720"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EFF" w:usb1="C000785B" w:usb2="00000009" w:usb3="00000000" w:csb0="400001FF" w:csb1="FFFF0000"/>
  </w:font>
  <w:font w:name="宋体">
    <w:panose1 w:val="02010600030101010101"/>
    <w:charset w:val="8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auto"/>
    <w:pitch w:val="default"/>
    <w:sig w:usb0="E1002EFF" w:usb1="C000605B" w:usb2="00000029" w:usb3="00000000" w:csb0="200101FF" w:csb1="20280000"/>
  </w:font>
  <w:font w:name="微软雅黑">
    <w:panose1 w:val="020B0503020204020204"/>
    <w:charset w:val="86"/>
    <w:family w:val="auto"/>
    <w:pitch w:val="default"/>
    <w:sig w:usb0="80000287" w:usb1="2ACF3C50" w:usb2="00000016" w:usb3="00000000" w:csb0="0004001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720"/>
  <w:displayHorizontalDrawingGridEvery w:val="1"/>
  <w:displayVerticalDrawingGridEvery w:val="1"/>
  <w:noPunctuationKerning w:val="1"/>
  <w:characterSpacingControl w:val="doNotCompress"/>
  <w:compat>
    <w:doNotExpandShiftReturn/>
    <w:doNotWrapTextWithPunct/>
    <w:doNotUseEastAsianBreakRules/>
    <w:useFELayout/>
    <w:compatSetting w:name="compatibilityMode" w:uri="http://schemas.microsoft.com/office/word" w:val="15"/>
  </w:compat>
  <w:rsids>
    <w:rsidRoot w:val="00000000"/>
    <w:rsid w:val="00C071A9"/>
    <w:rsid w:val="01CB6780"/>
    <w:rsid w:val="03761F84"/>
    <w:rsid w:val="04583A5F"/>
    <w:rsid w:val="08642090"/>
    <w:rsid w:val="1939235F"/>
    <w:rsid w:val="1A895A2E"/>
    <w:rsid w:val="1B721050"/>
    <w:rsid w:val="20FC3C98"/>
    <w:rsid w:val="241D645C"/>
    <w:rsid w:val="29EB5E27"/>
    <w:rsid w:val="2CEF2304"/>
    <w:rsid w:val="2ED173BC"/>
    <w:rsid w:val="2FDA460D"/>
    <w:rsid w:val="30277AEE"/>
    <w:rsid w:val="30C86320"/>
    <w:rsid w:val="36350933"/>
    <w:rsid w:val="37F82BA8"/>
    <w:rsid w:val="47314599"/>
    <w:rsid w:val="4B915CA6"/>
    <w:rsid w:val="4BA33F87"/>
    <w:rsid w:val="516278D2"/>
    <w:rsid w:val="52681B75"/>
    <w:rsid w:val="5503669C"/>
    <w:rsid w:val="5BBB1A7E"/>
    <w:rsid w:val="5DFB2606"/>
    <w:rsid w:val="67D92F97"/>
    <w:rsid w:val="6C8758C5"/>
    <w:rsid w:val="725D1D98"/>
    <w:rsid w:val="7524462B"/>
    <w:rsid w:val="77CC23A1"/>
    <w:rsid w:val="7A2F07CB"/>
  </w:rsids>
  <m:mathPr>
    <m:brkBin m:val="before"/>
    <m:brkBinSub m:val="--"/>
    <m:smallFrac m:val="1"/>
    <m:dispDef/>
    <m:lMargin m:val="1440"/>
    <m:rMargin m:val="144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7" w:semiHidden="0" w:name="heading 1"/>
    <w:lsdException w:qFormat="1" w:unhideWhenUsed="0" w:uiPriority="8" w:semiHidden="0" w:name="heading 2"/>
    <w:lsdException w:qFormat="1" w:unhideWhenUsed="0" w:uiPriority="9" w:semiHidden="0" w:name="heading 3"/>
    <w:lsdException w:qFormat="1" w:unhideWhenUsed="0" w:uiPriority="10" w:semiHidden="0" w:name="heading 4"/>
    <w:lsdException w:qFormat="1" w:unhideWhenUsed="0" w:uiPriority="11" w:semiHidden="0" w:name="heading 5"/>
    <w:lsdException w:qFormat="1" w:unhideWhenUsed="0" w:uiPriority="12" w:semiHidden="0" w:name="heading 6"/>
    <w:lsdException w:qFormat="1" w:unhideWhenUsed="0" w:uiPriority="13" w:semiHidden="0" w:name="heading 7"/>
    <w:lsdException w:qFormat="1" w:unhideWhenUsed="0" w:uiPriority="14" w:semiHidden="0" w:name="heading 8"/>
    <w:lsdException w:qFormat="1" w:unhideWhenUsed="0" w:uiPriority="15"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28" w:semiHidden="0" w:name="toc 1"/>
    <w:lsdException w:qFormat="1" w:uiPriority="29" w:semiHidden="0" w:name="toc 2"/>
    <w:lsdException w:qFormat="1" w:uiPriority="30" w:semiHidden="0" w:name="toc 3"/>
    <w:lsdException w:qFormat="1" w:uiPriority="31" w:semiHidden="0" w:name="toc 4"/>
    <w:lsdException w:qFormat="1" w:uiPriority="32" w:semiHidden="0" w:name="toc 5"/>
    <w:lsdException w:qFormat="1" w:uiPriority="33" w:semiHidden="0" w:name="toc 6"/>
    <w:lsdException w:qFormat="1" w:uiPriority="34" w:semiHidden="0" w:name="toc 7"/>
    <w:lsdException w:qFormat="1" w:uiPriority="35" w:semiHidden="0" w:name="toc 8"/>
    <w:lsdException w:qFormat="1" w:uiPriority="36"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153" w:name="header"/>
    <w:lsdException w:qFormat="1" w:uiPriority="152"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6" w:semiHidden="0" w:name="Title"/>
    <w:lsdException w:unhideWhenUsed="0" w:uiPriority="0" w:semiHidden="0" w:name="Closing"/>
    <w:lsdException w:unhideWhenUsed="0" w:uiPriority="0" w:semiHidden="0" w:name="Signature"/>
    <w:lsdException w:qFormat="1" w:uiPriority="2"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16"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0" w:semiHidden="0" w:name="Strong"/>
    <w:lsdException w:qFormat="1" w:unhideWhenUsed="0" w:uiPriority="18"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154"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37"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8" w:semiHidden="0" w:name="Table Grid"/>
    <w:lsdException w:unhideWhenUsed="0" w:uiPriority="0" w:semiHidden="0" w:name="Table Theme"/>
    <w:lsdException w:qFormat="1" w:unhideWhenUsed="0" w:uiPriority="5"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6" w:semiHidden="0" w:name="List Paragraph"/>
    <w:lsdException w:qFormat="1" w:unhideWhenUsed="0" w:uiPriority="21" w:semiHidden="0" w:name="Quote"/>
    <w:lsdException w:qFormat="1" w:unhideWhenUsed="0" w:uiPriority="22"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wordWrap/>
      <w:autoSpaceDE/>
      <w:autoSpaceDN/>
    </w:pPr>
    <w:rPr>
      <w:rFonts w:ascii="Tahoma" w:hAnsi="Tahoma" w:eastAsia="Tahoma" w:cstheme="minorBidi"/>
      <w:w w:val="100"/>
      <w:sz w:val="20"/>
      <w:szCs w:val="20"/>
      <w:shd w:val="clear"/>
    </w:rPr>
  </w:style>
  <w:style w:type="paragraph" w:styleId="2">
    <w:name w:val="heading 1"/>
    <w:qFormat/>
    <w:uiPriority w:val="7"/>
    <w:pPr>
      <w:widowControl/>
      <w:wordWrap/>
      <w:autoSpaceDE/>
      <w:autoSpaceDN/>
      <w:jc w:val="both"/>
    </w:pPr>
    <w:rPr>
      <w:rFonts w:ascii="Calibri" w:hAnsi="Calibri" w:eastAsia="微软雅黑" w:cstheme="minorBidi"/>
      <w:w w:val="100"/>
      <w:sz w:val="28"/>
      <w:szCs w:val="28"/>
      <w:shd w:val="clear"/>
    </w:rPr>
  </w:style>
  <w:style w:type="paragraph" w:styleId="3">
    <w:name w:val="heading 2"/>
    <w:qFormat/>
    <w:uiPriority w:val="8"/>
    <w:pPr>
      <w:widowControl/>
      <w:wordWrap/>
      <w:autoSpaceDE/>
      <w:autoSpaceDN/>
      <w:jc w:val="both"/>
    </w:pPr>
    <w:rPr>
      <w:rFonts w:ascii="Calibri" w:hAnsi="Calibri" w:eastAsia="微软雅黑" w:cstheme="minorBidi"/>
      <w:w w:val="100"/>
      <w:sz w:val="21"/>
      <w:szCs w:val="21"/>
      <w:shd w:val="clear"/>
    </w:rPr>
  </w:style>
  <w:style w:type="paragraph" w:styleId="4">
    <w:name w:val="heading 3"/>
    <w:basedOn w:val="1"/>
    <w:next w:val="1"/>
    <w:qFormat/>
    <w:uiPriority w:val="9"/>
    <w:pPr>
      <w:widowControl/>
      <w:wordWrap/>
      <w:autoSpaceDE/>
      <w:autoSpaceDN/>
      <w:ind w:left="1000" w:hanging="400"/>
      <w:jc w:val="both"/>
    </w:pPr>
    <w:rPr>
      <w:rFonts w:ascii="Calibri" w:hAnsi="Calibri" w:eastAsia="微软雅黑" w:cstheme="minorBidi"/>
      <w:w w:val="100"/>
      <w:sz w:val="21"/>
      <w:szCs w:val="21"/>
      <w:shd w:val="clear"/>
    </w:rPr>
  </w:style>
  <w:style w:type="paragraph" w:styleId="5">
    <w:name w:val="heading 4"/>
    <w:qFormat/>
    <w:uiPriority w:val="10"/>
    <w:pPr>
      <w:widowControl/>
      <w:wordWrap/>
      <w:autoSpaceDE/>
      <w:autoSpaceDN/>
      <w:ind w:left="1200" w:hanging="400"/>
      <w:jc w:val="both"/>
    </w:pPr>
    <w:rPr>
      <w:rFonts w:ascii="Calibri" w:hAnsi="Calibri" w:eastAsia="微软雅黑" w:cstheme="minorBidi"/>
      <w:b/>
      <w:w w:val="100"/>
      <w:sz w:val="21"/>
      <w:szCs w:val="21"/>
      <w:shd w:val="clear"/>
    </w:rPr>
  </w:style>
  <w:style w:type="paragraph" w:styleId="6">
    <w:name w:val="heading 5"/>
    <w:qFormat/>
    <w:uiPriority w:val="11"/>
    <w:pPr>
      <w:widowControl/>
      <w:wordWrap/>
      <w:autoSpaceDE/>
      <w:autoSpaceDN/>
      <w:ind w:left="1400" w:hanging="400"/>
      <w:jc w:val="both"/>
    </w:pPr>
    <w:rPr>
      <w:rFonts w:ascii="Calibri" w:hAnsi="Calibri" w:eastAsia="微软雅黑" w:cstheme="minorBidi"/>
      <w:w w:val="100"/>
      <w:sz w:val="21"/>
      <w:szCs w:val="21"/>
      <w:shd w:val="clear"/>
    </w:rPr>
  </w:style>
  <w:style w:type="paragraph" w:styleId="7">
    <w:name w:val="heading 6"/>
    <w:qFormat/>
    <w:uiPriority w:val="12"/>
    <w:pPr>
      <w:widowControl/>
      <w:wordWrap/>
      <w:autoSpaceDE/>
      <w:autoSpaceDN/>
      <w:ind w:left="1600" w:hanging="400"/>
      <w:jc w:val="both"/>
    </w:pPr>
    <w:rPr>
      <w:rFonts w:ascii="Calibri" w:hAnsi="Calibri" w:eastAsia="微软雅黑" w:cstheme="minorBidi"/>
      <w:b/>
      <w:w w:val="100"/>
      <w:sz w:val="21"/>
      <w:szCs w:val="21"/>
      <w:shd w:val="clear"/>
    </w:rPr>
  </w:style>
  <w:style w:type="paragraph" w:styleId="8">
    <w:name w:val="heading 7"/>
    <w:qFormat/>
    <w:uiPriority w:val="13"/>
    <w:pPr>
      <w:widowControl/>
      <w:wordWrap/>
      <w:autoSpaceDE/>
      <w:autoSpaceDN/>
      <w:ind w:left="1800" w:hanging="400"/>
      <w:jc w:val="both"/>
    </w:pPr>
    <w:rPr>
      <w:rFonts w:ascii="Calibri" w:hAnsi="Calibri" w:eastAsia="微软雅黑" w:cstheme="minorBidi"/>
      <w:w w:val="100"/>
      <w:sz w:val="21"/>
      <w:szCs w:val="21"/>
      <w:shd w:val="clear"/>
    </w:rPr>
  </w:style>
  <w:style w:type="paragraph" w:styleId="9">
    <w:name w:val="heading 8"/>
    <w:qFormat/>
    <w:uiPriority w:val="14"/>
    <w:pPr>
      <w:widowControl/>
      <w:wordWrap/>
      <w:autoSpaceDE/>
      <w:autoSpaceDN/>
      <w:ind w:left="2000" w:hanging="400"/>
      <w:jc w:val="both"/>
    </w:pPr>
    <w:rPr>
      <w:rFonts w:ascii="Calibri" w:hAnsi="Calibri" w:eastAsia="微软雅黑" w:cstheme="minorBidi"/>
      <w:w w:val="100"/>
      <w:sz w:val="21"/>
      <w:szCs w:val="21"/>
      <w:shd w:val="clear"/>
    </w:rPr>
  </w:style>
  <w:style w:type="paragraph" w:styleId="10">
    <w:name w:val="heading 9"/>
    <w:qFormat/>
    <w:uiPriority w:val="15"/>
    <w:pPr>
      <w:widowControl/>
      <w:wordWrap/>
      <w:autoSpaceDE/>
      <w:autoSpaceDN/>
      <w:ind w:left="2200" w:hanging="400"/>
      <w:jc w:val="both"/>
    </w:pPr>
    <w:rPr>
      <w:rFonts w:ascii="Calibri" w:hAnsi="Calibri" w:eastAsia="微软雅黑" w:cstheme="minorBidi"/>
      <w:w w:val="100"/>
      <w:sz w:val="21"/>
      <w:szCs w:val="21"/>
      <w:shd w:val="clear"/>
    </w:rPr>
  </w:style>
  <w:style w:type="character" w:default="1" w:styleId="28">
    <w:name w:val="Default Paragraph Font"/>
    <w:semiHidden/>
    <w:unhideWhenUsed/>
    <w:qFormat/>
    <w:uiPriority w:val="2"/>
  </w:style>
  <w:style w:type="table" w:default="1" w:styleId="26">
    <w:name w:val="Normal Table"/>
    <w:qFormat/>
    <w:uiPriority w:val="37"/>
    <w:tblPr>
      <w:tblCellMar>
        <w:top w:w="0" w:type="dxa"/>
        <w:left w:w="108" w:type="dxa"/>
        <w:bottom w:w="0" w:type="dxa"/>
        <w:right w:w="108" w:type="dxa"/>
      </w:tblCellMar>
    </w:tblPr>
  </w:style>
  <w:style w:type="paragraph" w:styleId="11">
    <w:name w:val="toc 7"/>
    <w:unhideWhenUsed/>
    <w:qFormat/>
    <w:uiPriority w:val="34"/>
    <w:pPr>
      <w:widowControl/>
      <w:wordWrap/>
      <w:autoSpaceDE/>
      <w:autoSpaceDN/>
      <w:ind w:left="2550" w:firstLine="0"/>
      <w:jc w:val="both"/>
    </w:pPr>
    <w:rPr>
      <w:rFonts w:ascii="Calibri" w:hAnsi="Calibri" w:eastAsia="微软雅黑" w:cstheme="minorBidi"/>
      <w:w w:val="100"/>
      <w:sz w:val="21"/>
      <w:szCs w:val="21"/>
      <w:shd w:val="clear"/>
    </w:rPr>
  </w:style>
  <w:style w:type="paragraph" w:styleId="12">
    <w:name w:val="Body Text"/>
    <w:basedOn w:val="1"/>
    <w:qFormat/>
    <w:uiPriority w:val="0"/>
    <w:pPr>
      <w:spacing w:after="120" w:line="360" w:lineRule="auto"/>
      <w:ind w:firstLine="200" w:firstLineChars="200"/>
    </w:pPr>
    <w:rPr>
      <w:rFonts w:eastAsia="仿宋_GB2312"/>
      <w:sz w:val="28"/>
      <w:szCs w:val="28"/>
    </w:rPr>
  </w:style>
  <w:style w:type="paragraph" w:styleId="13">
    <w:name w:val="toc 5"/>
    <w:unhideWhenUsed/>
    <w:qFormat/>
    <w:uiPriority w:val="32"/>
    <w:pPr>
      <w:widowControl/>
      <w:wordWrap/>
      <w:autoSpaceDE/>
      <w:autoSpaceDN/>
      <w:ind w:left="1700" w:firstLine="0"/>
      <w:jc w:val="both"/>
    </w:pPr>
    <w:rPr>
      <w:rFonts w:ascii="Calibri" w:hAnsi="Calibri" w:eastAsia="微软雅黑" w:cstheme="minorBidi"/>
      <w:w w:val="100"/>
      <w:sz w:val="21"/>
      <w:szCs w:val="21"/>
      <w:shd w:val="clear"/>
    </w:rPr>
  </w:style>
  <w:style w:type="paragraph" w:styleId="14">
    <w:name w:val="toc 3"/>
    <w:unhideWhenUsed/>
    <w:qFormat/>
    <w:uiPriority w:val="30"/>
    <w:pPr>
      <w:widowControl/>
      <w:wordWrap/>
      <w:autoSpaceDE/>
      <w:autoSpaceDN/>
      <w:ind w:left="850" w:firstLine="0"/>
      <w:jc w:val="both"/>
    </w:pPr>
    <w:rPr>
      <w:rFonts w:ascii="Calibri" w:hAnsi="Calibri" w:eastAsia="微软雅黑" w:cstheme="minorBidi"/>
      <w:w w:val="100"/>
      <w:sz w:val="21"/>
      <w:szCs w:val="21"/>
      <w:shd w:val="clear"/>
    </w:rPr>
  </w:style>
  <w:style w:type="paragraph" w:styleId="15">
    <w:name w:val="toc 8"/>
    <w:unhideWhenUsed/>
    <w:qFormat/>
    <w:uiPriority w:val="35"/>
    <w:pPr>
      <w:widowControl/>
      <w:wordWrap/>
      <w:autoSpaceDE/>
      <w:autoSpaceDN/>
      <w:ind w:left="2975" w:firstLine="0"/>
      <w:jc w:val="both"/>
    </w:pPr>
    <w:rPr>
      <w:rFonts w:ascii="Calibri" w:hAnsi="Calibri" w:eastAsia="微软雅黑" w:cstheme="minorBidi"/>
      <w:w w:val="100"/>
      <w:sz w:val="21"/>
      <w:szCs w:val="21"/>
      <w:shd w:val="clear"/>
    </w:rPr>
  </w:style>
  <w:style w:type="paragraph" w:styleId="16">
    <w:name w:val="footer"/>
    <w:basedOn w:val="1"/>
    <w:link w:val="42"/>
    <w:semiHidden/>
    <w:unhideWhenUsed/>
    <w:qFormat/>
    <w:uiPriority w:val="152"/>
    <w:pPr>
      <w:widowControl/>
      <w:tabs>
        <w:tab w:val="center" w:pos="4153"/>
        <w:tab w:val="right" w:pos="8306"/>
      </w:tabs>
      <w:wordWrap/>
      <w:autoSpaceDE/>
      <w:autoSpaceDN/>
    </w:pPr>
    <w:rPr>
      <w:w w:val="100"/>
      <w:sz w:val="18"/>
      <w:szCs w:val="18"/>
      <w:shd w:val="clear"/>
    </w:rPr>
  </w:style>
  <w:style w:type="paragraph" w:styleId="17">
    <w:name w:val="header"/>
    <w:basedOn w:val="1"/>
    <w:link w:val="41"/>
    <w:semiHidden/>
    <w:unhideWhenUsed/>
    <w:qFormat/>
    <w:uiPriority w:val="153"/>
    <w:pPr>
      <w:widowControl/>
      <w:tabs>
        <w:tab w:val="center" w:pos="4153"/>
        <w:tab w:val="right" w:pos="8306"/>
      </w:tabs>
      <w:wordWrap/>
      <w:autoSpaceDE/>
      <w:autoSpaceDN/>
      <w:jc w:val="center"/>
    </w:pPr>
    <w:rPr>
      <w:w w:val="100"/>
      <w:sz w:val="18"/>
      <w:szCs w:val="18"/>
      <w:shd w:val="clear"/>
    </w:rPr>
  </w:style>
  <w:style w:type="paragraph" w:styleId="18">
    <w:name w:val="toc 1"/>
    <w:unhideWhenUsed/>
    <w:qFormat/>
    <w:uiPriority w:val="28"/>
    <w:pPr>
      <w:widowControl/>
      <w:wordWrap/>
      <w:autoSpaceDE/>
      <w:autoSpaceDN/>
      <w:jc w:val="both"/>
    </w:pPr>
    <w:rPr>
      <w:rFonts w:ascii="Calibri" w:hAnsi="Calibri" w:eastAsia="微软雅黑" w:cstheme="minorBidi"/>
      <w:w w:val="100"/>
      <w:sz w:val="21"/>
      <w:szCs w:val="21"/>
      <w:shd w:val="clear"/>
    </w:rPr>
  </w:style>
  <w:style w:type="paragraph" w:styleId="19">
    <w:name w:val="toc 4"/>
    <w:unhideWhenUsed/>
    <w:qFormat/>
    <w:uiPriority w:val="31"/>
    <w:pPr>
      <w:widowControl/>
      <w:wordWrap/>
      <w:autoSpaceDE/>
      <w:autoSpaceDN/>
      <w:ind w:left="1275" w:firstLine="0"/>
      <w:jc w:val="both"/>
    </w:pPr>
    <w:rPr>
      <w:rFonts w:ascii="Calibri" w:hAnsi="Calibri" w:eastAsia="微软雅黑" w:cstheme="minorBidi"/>
      <w:w w:val="100"/>
      <w:sz w:val="21"/>
      <w:szCs w:val="21"/>
      <w:shd w:val="clear"/>
    </w:rPr>
  </w:style>
  <w:style w:type="paragraph" w:styleId="20">
    <w:name w:val="Subtitle"/>
    <w:qFormat/>
    <w:uiPriority w:val="16"/>
    <w:pPr>
      <w:widowControl/>
      <w:wordWrap/>
      <w:autoSpaceDE/>
      <w:autoSpaceDN/>
      <w:jc w:val="center"/>
    </w:pPr>
    <w:rPr>
      <w:rFonts w:ascii="Calibri" w:hAnsi="Calibri" w:eastAsia="微软雅黑" w:cstheme="minorBidi"/>
      <w:w w:val="100"/>
      <w:sz w:val="24"/>
      <w:szCs w:val="24"/>
      <w:shd w:val="clear"/>
    </w:rPr>
  </w:style>
  <w:style w:type="paragraph" w:styleId="21">
    <w:name w:val="toc 6"/>
    <w:unhideWhenUsed/>
    <w:qFormat/>
    <w:uiPriority w:val="33"/>
    <w:pPr>
      <w:widowControl/>
      <w:wordWrap/>
      <w:autoSpaceDE/>
      <w:autoSpaceDN/>
      <w:ind w:left="2125" w:firstLine="0"/>
      <w:jc w:val="both"/>
    </w:pPr>
    <w:rPr>
      <w:rFonts w:ascii="Calibri" w:hAnsi="Calibri" w:eastAsia="微软雅黑" w:cstheme="minorBidi"/>
      <w:w w:val="100"/>
      <w:sz w:val="21"/>
      <w:szCs w:val="21"/>
      <w:shd w:val="clear"/>
    </w:rPr>
  </w:style>
  <w:style w:type="paragraph" w:styleId="22">
    <w:name w:val="toc 2"/>
    <w:unhideWhenUsed/>
    <w:qFormat/>
    <w:uiPriority w:val="29"/>
    <w:pPr>
      <w:widowControl/>
      <w:wordWrap/>
      <w:autoSpaceDE/>
      <w:autoSpaceDN/>
      <w:ind w:left="425" w:firstLine="0"/>
      <w:jc w:val="both"/>
    </w:pPr>
    <w:rPr>
      <w:rFonts w:ascii="Calibri" w:hAnsi="Calibri" w:eastAsia="微软雅黑" w:cstheme="minorBidi"/>
      <w:w w:val="100"/>
      <w:sz w:val="21"/>
      <w:szCs w:val="21"/>
      <w:shd w:val="clear"/>
    </w:rPr>
  </w:style>
  <w:style w:type="paragraph" w:styleId="23">
    <w:name w:val="toc 9"/>
    <w:unhideWhenUsed/>
    <w:qFormat/>
    <w:uiPriority w:val="36"/>
    <w:pPr>
      <w:widowControl/>
      <w:wordWrap/>
      <w:autoSpaceDE/>
      <w:autoSpaceDN/>
      <w:ind w:left="3400" w:firstLine="0"/>
      <w:jc w:val="both"/>
    </w:pPr>
    <w:rPr>
      <w:rFonts w:ascii="Calibri" w:hAnsi="Calibri" w:eastAsia="微软雅黑" w:cstheme="minorBidi"/>
      <w:w w:val="100"/>
      <w:sz w:val="21"/>
      <w:szCs w:val="21"/>
      <w:shd w:val="clear"/>
    </w:rPr>
  </w:style>
  <w:style w:type="paragraph" w:styleId="24">
    <w:name w:val="Normal (Web)"/>
    <w:basedOn w:val="1"/>
    <w:unhideWhenUsed/>
    <w:qFormat/>
    <w:uiPriority w:val="154"/>
    <w:pPr>
      <w:widowControl/>
      <w:wordWrap/>
      <w:autoSpaceDE/>
      <w:autoSpaceDN/>
    </w:pPr>
    <w:rPr>
      <w:rFonts w:ascii="宋体" w:hAnsi="宋体" w:eastAsia="宋体"/>
      <w:w w:val="100"/>
      <w:sz w:val="24"/>
      <w:szCs w:val="24"/>
      <w:shd w:val="clear"/>
    </w:rPr>
  </w:style>
  <w:style w:type="paragraph" w:styleId="25">
    <w:name w:val="Title"/>
    <w:qFormat/>
    <w:uiPriority w:val="6"/>
    <w:pPr>
      <w:widowControl/>
      <w:wordWrap/>
      <w:autoSpaceDE/>
      <w:autoSpaceDN/>
      <w:jc w:val="center"/>
    </w:pPr>
    <w:rPr>
      <w:rFonts w:ascii="Calibri" w:hAnsi="Calibri" w:eastAsia="微软雅黑" w:cstheme="minorBidi"/>
      <w:b/>
      <w:w w:val="100"/>
      <w:sz w:val="32"/>
      <w:szCs w:val="32"/>
      <w:shd w:val="clear"/>
    </w:rPr>
  </w:style>
  <w:style w:type="table" w:styleId="27">
    <w:name w:val="Table Grid"/>
    <w:basedOn w:val="26"/>
    <w:qFormat/>
    <w:uiPriority w:val="38"/>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9">
    <w:name w:val="Strong"/>
    <w:qFormat/>
    <w:uiPriority w:val="20"/>
    <w:rPr>
      <w:b/>
      <w:w w:val="100"/>
      <w:sz w:val="21"/>
      <w:szCs w:val="21"/>
      <w:shd w:val="clear"/>
    </w:rPr>
  </w:style>
  <w:style w:type="character" w:styleId="30">
    <w:name w:val="Emphasis"/>
    <w:qFormat/>
    <w:uiPriority w:val="18"/>
    <w:rPr>
      <w:i/>
      <w:w w:val="100"/>
      <w:sz w:val="21"/>
      <w:szCs w:val="21"/>
      <w:shd w:val="clear"/>
    </w:rPr>
  </w:style>
  <w:style w:type="paragraph" w:styleId="31">
    <w:name w:val="No Spacing"/>
    <w:qFormat/>
    <w:uiPriority w:val="5"/>
    <w:pPr>
      <w:widowControl/>
      <w:wordWrap/>
      <w:autoSpaceDE/>
      <w:autoSpaceDN/>
      <w:jc w:val="both"/>
    </w:pPr>
    <w:rPr>
      <w:rFonts w:ascii="Calibri" w:hAnsi="Calibri" w:eastAsia="微软雅黑" w:cstheme="minorBidi"/>
      <w:w w:val="100"/>
      <w:sz w:val="21"/>
      <w:szCs w:val="21"/>
      <w:shd w:val="clear"/>
    </w:rPr>
  </w:style>
  <w:style w:type="character" w:customStyle="1" w:styleId="32">
    <w:name w:val="Subtle Emphasis"/>
    <w:qFormat/>
    <w:uiPriority w:val="17"/>
    <w:rPr>
      <w:i/>
      <w:color w:val="404040"/>
      <w:w w:val="100"/>
      <w:sz w:val="21"/>
      <w:szCs w:val="21"/>
      <w:shd w:val="clear"/>
    </w:rPr>
  </w:style>
  <w:style w:type="character" w:customStyle="1" w:styleId="33">
    <w:name w:val="Intense Emphasis"/>
    <w:qFormat/>
    <w:uiPriority w:val="19"/>
    <w:rPr>
      <w:i/>
      <w:color w:val="5B9BD5"/>
      <w:w w:val="100"/>
      <w:sz w:val="21"/>
      <w:szCs w:val="21"/>
      <w:shd w:val="clear"/>
    </w:rPr>
  </w:style>
  <w:style w:type="paragraph" w:styleId="34">
    <w:name w:val="Quote"/>
    <w:qFormat/>
    <w:uiPriority w:val="21"/>
    <w:pPr>
      <w:widowControl/>
      <w:wordWrap/>
      <w:autoSpaceDE/>
      <w:autoSpaceDN/>
      <w:ind w:left="864" w:right="864" w:firstLine="0"/>
      <w:jc w:val="center"/>
    </w:pPr>
    <w:rPr>
      <w:rFonts w:ascii="Calibri" w:hAnsi="Calibri" w:eastAsia="微软雅黑" w:cstheme="minorBidi"/>
      <w:i/>
      <w:color w:val="404040"/>
      <w:w w:val="100"/>
      <w:sz w:val="21"/>
      <w:szCs w:val="21"/>
      <w:shd w:val="clear"/>
    </w:rPr>
  </w:style>
  <w:style w:type="paragraph" w:styleId="35">
    <w:name w:val="Intense Quote"/>
    <w:qFormat/>
    <w:uiPriority w:val="22"/>
    <w:pPr>
      <w:widowControl/>
      <w:wordWrap/>
      <w:autoSpaceDE/>
      <w:autoSpaceDN/>
      <w:ind w:left="950" w:right="950" w:firstLine="0"/>
      <w:jc w:val="center"/>
    </w:pPr>
    <w:rPr>
      <w:rFonts w:ascii="Calibri" w:hAnsi="Calibri" w:eastAsia="微软雅黑" w:cstheme="minorBidi"/>
      <w:i/>
      <w:color w:val="5B9BD5"/>
      <w:w w:val="100"/>
      <w:sz w:val="21"/>
      <w:szCs w:val="21"/>
      <w:shd w:val="clear"/>
    </w:rPr>
  </w:style>
  <w:style w:type="character" w:customStyle="1" w:styleId="36">
    <w:name w:val="Subtle Reference"/>
    <w:qFormat/>
    <w:uiPriority w:val="23"/>
    <w:rPr>
      <w:smallCaps/>
      <w:color w:val="5A5A5A"/>
      <w:w w:val="100"/>
      <w:sz w:val="21"/>
      <w:szCs w:val="21"/>
      <w:shd w:val="clear"/>
    </w:rPr>
  </w:style>
  <w:style w:type="character" w:customStyle="1" w:styleId="37">
    <w:name w:val="Intense Reference"/>
    <w:qFormat/>
    <w:uiPriority w:val="24"/>
    <w:rPr>
      <w:b/>
      <w:smallCaps/>
      <w:color w:val="5B9BD5"/>
      <w:w w:val="100"/>
      <w:sz w:val="21"/>
      <w:szCs w:val="21"/>
      <w:shd w:val="clear"/>
    </w:rPr>
  </w:style>
  <w:style w:type="character" w:customStyle="1" w:styleId="38">
    <w:name w:val="Book Title"/>
    <w:qFormat/>
    <w:uiPriority w:val="25"/>
    <w:rPr>
      <w:b/>
      <w:i/>
      <w:w w:val="100"/>
      <w:sz w:val="21"/>
      <w:szCs w:val="21"/>
      <w:shd w:val="clear"/>
    </w:rPr>
  </w:style>
  <w:style w:type="paragraph" w:styleId="39">
    <w:name w:val="List Paragraph"/>
    <w:qFormat/>
    <w:uiPriority w:val="26"/>
    <w:pPr>
      <w:widowControl/>
      <w:wordWrap/>
      <w:autoSpaceDE/>
      <w:autoSpaceDN/>
      <w:ind w:left="850" w:firstLine="0"/>
      <w:jc w:val="both"/>
    </w:pPr>
    <w:rPr>
      <w:rFonts w:ascii="Calibri" w:hAnsi="Calibri" w:eastAsia="微软雅黑" w:cstheme="minorBidi"/>
      <w:w w:val="100"/>
      <w:sz w:val="21"/>
      <w:szCs w:val="21"/>
      <w:shd w:val="clear"/>
    </w:rPr>
  </w:style>
  <w:style w:type="paragraph" w:customStyle="1" w:styleId="40">
    <w:name w:val="TOC Heading"/>
    <w:unhideWhenUsed/>
    <w:qFormat/>
    <w:uiPriority w:val="27"/>
    <w:pPr>
      <w:widowControl/>
      <w:wordWrap/>
      <w:autoSpaceDE/>
      <w:autoSpaceDN/>
    </w:pPr>
    <w:rPr>
      <w:rFonts w:ascii="Calibri" w:hAnsi="Calibri" w:eastAsia="微软雅黑" w:cstheme="minorBidi"/>
      <w:color w:val="2E74B5"/>
      <w:w w:val="100"/>
      <w:sz w:val="32"/>
      <w:szCs w:val="32"/>
      <w:shd w:val="clear"/>
    </w:rPr>
  </w:style>
  <w:style w:type="character" w:customStyle="1" w:styleId="41">
    <w:name w:val="页眉 Char"/>
    <w:basedOn w:val="28"/>
    <w:link w:val="17"/>
    <w:semiHidden/>
    <w:qFormat/>
    <w:uiPriority w:val="155"/>
    <w:rPr>
      <w:rFonts w:ascii="Tahoma" w:hAnsi="Tahoma" w:eastAsia="Tahoma"/>
      <w:w w:val="100"/>
      <w:sz w:val="18"/>
      <w:szCs w:val="18"/>
      <w:shd w:val="clear"/>
    </w:rPr>
  </w:style>
  <w:style w:type="character" w:customStyle="1" w:styleId="42">
    <w:name w:val="页脚 Char"/>
    <w:basedOn w:val="28"/>
    <w:link w:val="16"/>
    <w:semiHidden/>
    <w:qFormat/>
    <w:uiPriority w:val="156"/>
    <w:rPr>
      <w:rFonts w:ascii="Tahoma" w:hAnsi="Tahoma" w:eastAsia="Tahoma"/>
      <w:w w:val="100"/>
      <w:sz w:val="18"/>
      <w:szCs w:val="18"/>
      <w:shd w:val="clear"/>
    </w:rPr>
  </w:style>
  <w:style w:type="paragraph" w:customStyle="1" w:styleId="43">
    <w:name w:val="修复方案正文 宋体四号"/>
    <w:basedOn w:val="1"/>
    <w:qFormat/>
    <w:uiPriority w:val="0"/>
    <w:pPr>
      <w:spacing w:line="360" w:lineRule="auto"/>
      <w:ind w:firstLine="566" w:firstLineChars="202"/>
      <w:jc w:val="left"/>
    </w:pPr>
    <w:rPr>
      <w:rFonts w:ascii="宋体" w:hAnsi="宋体"/>
      <w:sz w:val="28"/>
      <w:szCs w:val="2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4</Pages>
  <Words>1839</Words>
  <Characters>1936</Characters>
  <Lines>9</Lines>
  <Paragraphs>2</Paragraphs>
  <TotalTime>12</TotalTime>
  <ScaleCrop>false</ScaleCrop>
  <LinksUpToDate>false</LinksUpToDate>
  <CharactersWithSpaces>1943</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2026-03-21T07:38:00Z</dcterms:created>
  <dc:creator>user</dc:creator>
  <cp:lastModifiedBy>蹉跎</cp:lastModifiedBy>
  <dcterms:modified xsi:type="dcterms:W3CDTF">2026-08-11T07:48:03Z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A65A699AB8BE4112BB698336177D78B4_13</vt:lpwstr>
  </property>
  <property fmtid="{D5CDD505-2E9C-101B-9397-08002B2CF9AE}" pid="4" name="KSOTemplateDocerSaveRecord">
    <vt:lpwstr>eyJoZGlkIjoiYzRlZDM2OTQ5ZGNhNTczNDdjOTllYjdiOGMxYTRkZTMiLCJ1c2VySWQiOiI0OTU3ODgxOTYifQ==</vt:lpwstr>
  </property>
</Properties>
</file>