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BD5DD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0"/>
        <w:rPr>
          <w:rFonts w:ascii="宋体" w:hAnsi="宋体" w:eastAsia="宋体" w:cs="宋体"/>
          <w:b/>
          <w:bCs/>
          <w:spacing w:val="6"/>
          <w:sz w:val="35"/>
          <w:szCs w:val="35"/>
        </w:rPr>
      </w:pPr>
      <w:r>
        <w:rPr>
          <w:rFonts w:hint="eastAsia" w:ascii="宋体" w:hAnsi="宋体" w:eastAsia="宋体" w:cs="宋体"/>
          <w:b/>
          <w:bCs/>
          <w:spacing w:val="6"/>
          <w:sz w:val="35"/>
          <w:szCs w:val="35"/>
        </w:rPr>
        <w:t>鸡东县哈达镇青山村采石场矿区生态修复</w:t>
      </w:r>
    </w:p>
    <w:p w14:paraId="7B1FE45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6"/>
          <w:sz w:val="35"/>
          <w:szCs w:val="35"/>
        </w:rPr>
        <w:t>土地复垦回覆土壤政府统筹说明</w:t>
      </w:r>
    </w:p>
    <w:p w14:paraId="44617042">
      <w:pPr>
        <w:spacing w:line="256" w:lineRule="auto"/>
        <w:rPr>
          <w:rFonts w:ascii="Arial"/>
          <w:sz w:val="21"/>
        </w:rPr>
      </w:pPr>
    </w:p>
    <w:p w14:paraId="01FE67F1">
      <w:pPr>
        <w:spacing w:line="257" w:lineRule="auto"/>
        <w:rPr>
          <w:rFonts w:ascii="Arial"/>
          <w:sz w:val="21"/>
        </w:rPr>
      </w:pPr>
    </w:p>
    <w:p w14:paraId="55B767D1">
      <w:pPr>
        <w:spacing w:line="257" w:lineRule="auto"/>
        <w:rPr>
          <w:rFonts w:ascii="Arial"/>
          <w:sz w:val="21"/>
        </w:rPr>
      </w:pPr>
    </w:p>
    <w:p w14:paraId="147CB850">
      <w:pPr>
        <w:spacing w:before="91" w:line="412" w:lineRule="auto"/>
        <w:ind w:left="122" w:right="339" w:firstLine="563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4"/>
          <w:sz w:val="28"/>
          <w:szCs w:val="28"/>
        </w:rPr>
        <w:t>为保证植物的正常生长，</w:t>
      </w:r>
      <w:r>
        <w:rPr>
          <w:rFonts w:hint="eastAsia" w:ascii="宋体" w:hAnsi="宋体" w:eastAsia="宋体" w:cs="宋体"/>
          <w:spacing w:val="-4"/>
          <w:sz w:val="28"/>
          <w:szCs w:val="28"/>
          <w:lang w:val="en-US" w:eastAsia="zh-CN"/>
        </w:rPr>
        <w:t>鸡东县哈达镇青山村</w:t>
      </w:r>
      <w:r>
        <w:rPr>
          <w:rFonts w:ascii="宋体" w:hAnsi="宋体" w:eastAsia="宋体" w:cs="宋体"/>
          <w:spacing w:val="-4"/>
          <w:sz w:val="28"/>
          <w:szCs w:val="28"/>
        </w:rPr>
        <w:t>拟建</w:t>
      </w:r>
      <w:r>
        <w:rPr>
          <w:rFonts w:hint="eastAsia" w:ascii="宋体" w:hAnsi="宋体" w:eastAsia="宋体" w:cs="宋体"/>
          <w:spacing w:val="-4"/>
          <w:sz w:val="28"/>
          <w:szCs w:val="28"/>
          <w:lang w:val="en-US" w:eastAsia="zh-CN"/>
        </w:rPr>
        <w:t>采石场</w:t>
      </w:r>
      <w:r>
        <w:rPr>
          <w:rFonts w:ascii="宋体" w:hAnsi="宋体" w:eastAsia="宋体" w:cs="宋体"/>
          <w:spacing w:val="-4"/>
          <w:sz w:val="28"/>
          <w:szCs w:val="28"/>
        </w:rPr>
        <w:t>项目土地复垦施工结束后，要对平整后的土地进行覆土，该项目复</w:t>
      </w:r>
      <w:r>
        <w:rPr>
          <w:rFonts w:ascii="宋体" w:hAnsi="宋体" w:eastAsia="宋体" w:cs="宋体"/>
          <w:spacing w:val="1"/>
          <w:sz w:val="28"/>
          <w:szCs w:val="28"/>
        </w:rPr>
        <w:t>垦所用的覆土需由</w:t>
      </w:r>
      <w:r>
        <w:rPr>
          <w:rFonts w:hint="eastAsia" w:ascii="宋体" w:hAnsi="宋体" w:eastAsia="宋体" w:cs="宋体"/>
          <w:spacing w:val="1"/>
          <w:sz w:val="28"/>
          <w:szCs w:val="28"/>
          <w:lang w:val="en-US" w:eastAsia="zh-CN"/>
        </w:rPr>
        <w:t>哈达</w:t>
      </w:r>
      <w:bookmarkStart w:id="0" w:name="_GoBack"/>
      <w:bookmarkEnd w:id="0"/>
      <w:r>
        <w:rPr>
          <w:rFonts w:hint="eastAsia" w:ascii="宋体" w:hAnsi="宋体" w:eastAsia="宋体" w:cs="宋体"/>
          <w:spacing w:val="1"/>
          <w:sz w:val="28"/>
          <w:szCs w:val="28"/>
          <w:lang w:val="en-US" w:eastAsia="zh-CN"/>
        </w:rPr>
        <w:t>镇</w:t>
      </w:r>
      <w:r>
        <w:rPr>
          <w:rFonts w:ascii="宋体" w:hAnsi="宋体" w:eastAsia="宋体" w:cs="宋体"/>
          <w:spacing w:val="1"/>
          <w:sz w:val="28"/>
          <w:szCs w:val="28"/>
        </w:rPr>
        <w:t>人民政府统筹分配。预估运距为</w:t>
      </w:r>
      <w:r>
        <w:rPr>
          <w:rFonts w:hint="eastAsia" w:ascii="宋体" w:hAnsi="宋体" w:eastAsia="宋体" w:cs="宋体"/>
          <w:spacing w:val="1"/>
          <w:sz w:val="28"/>
          <w:szCs w:val="28"/>
          <w:lang w:val="en-US" w:eastAsia="zh-CN"/>
        </w:rPr>
        <w:t>500米</w:t>
      </w:r>
      <w:r>
        <w:rPr>
          <w:rFonts w:ascii="宋体" w:hAnsi="宋体" w:eastAsia="宋体" w:cs="宋体"/>
          <w:spacing w:val="-1"/>
          <w:sz w:val="28"/>
          <w:szCs w:val="28"/>
        </w:rPr>
        <w:t>。复垦区具体情况见下表。</w:t>
      </w:r>
    </w:p>
    <w:p w14:paraId="44AC94C1">
      <w:pPr>
        <w:spacing w:line="303" w:lineRule="auto"/>
        <w:rPr>
          <w:rFonts w:ascii="Arial"/>
          <w:sz w:val="21"/>
        </w:rPr>
      </w:pPr>
    </w:p>
    <w:p w14:paraId="2901E6EC">
      <w:pPr>
        <w:spacing w:before="65" w:line="228" w:lineRule="auto"/>
        <w:ind w:left="2944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9"/>
          <w:sz w:val="21"/>
          <w:szCs w:val="21"/>
        </w:rPr>
        <w:t>复垦单元土壤供需平衡分析计算表</w:t>
      </w:r>
    </w:p>
    <w:p w14:paraId="62A8BE51">
      <w:pPr>
        <w:spacing w:line="78" w:lineRule="exact"/>
        <w:rPr>
          <w:rFonts w:hint="eastAsia" w:ascii="宋体" w:hAnsi="宋体" w:eastAsia="宋体" w:cs="宋体"/>
          <w:sz w:val="21"/>
          <w:szCs w:val="21"/>
        </w:rPr>
      </w:pPr>
    </w:p>
    <w:tbl>
      <w:tblPr>
        <w:tblStyle w:val="2"/>
        <w:tblW w:w="513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7"/>
        <w:gridCol w:w="1449"/>
        <w:gridCol w:w="1211"/>
        <w:gridCol w:w="1219"/>
        <w:gridCol w:w="1115"/>
        <w:gridCol w:w="1222"/>
        <w:gridCol w:w="1521"/>
      </w:tblGrid>
      <w:tr w14:paraId="02121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477" w:type="dxa"/>
            <w:tcBorders>
              <w:tl2br w:val="nil"/>
              <w:tr2bl w:val="nil"/>
            </w:tcBorders>
            <w:noWrap w:val="0"/>
            <w:vAlign w:val="center"/>
          </w:tcPr>
          <w:p w14:paraId="3634F122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  <w:lang w:eastAsia="zh-CN"/>
              </w:rPr>
              <w:t>评价单元名称</w:t>
            </w:r>
          </w:p>
        </w:tc>
        <w:tc>
          <w:tcPr>
            <w:tcW w:w="1449" w:type="dxa"/>
            <w:tcBorders>
              <w:tl2br w:val="nil"/>
              <w:tr2bl w:val="nil"/>
            </w:tcBorders>
            <w:noWrap w:val="0"/>
            <w:vAlign w:val="center"/>
          </w:tcPr>
          <w:p w14:paraId="3E9A049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  <w:t>复垦地类</w:t>
            </w:r>
          </w:p>
        </w:tc>
        <w:tc>
          <w:tcPr>
            <w:tcW w:w="1211" w:type="dxa"/>
            <w:tcBorders>
              <w:tl2br w:val="nil"/>
              <w:tr2bl w:val="nil"/>
            </w:tcBorders>
            <w:noWrap w:val="0"/>
            <w:vAlign w:val="center"/>
          </w:tcPr>
          <w:p w14:paraId="37F3F73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  <w:t>覆土区面积（hm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  <w:t>）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7D501AD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  <w:t>覆土厚度（m）</w:t>
            </w:r>
          </w:p>
        </w:tc>
        <w:tc>
          <w:tcPr>
            <w:tcW w:w="1115" w:type="dxa"/>
            <w:tcBorders>
              <w:tl2br w:val="nil"/>
              <w:tr2bl w:val="nil"/>
            </w:tcBorders>
            <w:noWrap w:val="0"/>
            <w:vAlign w:val="center"/>
          </w:tcPr>
          <w:p w14:paraId="43B9E784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  <w:t>覆土量（万m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  <w:t>）</w:t>
            </w:r>
          </w:p>
        </w:tc>
        <w:tc>
          <w:tcPr>
            <w:tcW w:w="1222" w:type="dxa"/>
            <w:tcBorders>
              <w:tl2br w:val="nil"/>
              <w:tr2bl w:val="nil"/>
            </w:tcBorders>
            <w:noWrap w:val="0"/>
            <w:vAlign w:val="center"/>
          </w:tcPr>
          <w:p w14:paraId="67FE5C0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  <w:t>堆存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土壤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  <w:t>量（万m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  <w:t>）</w:t>
            </w:r>
          </w:p>
        </w:tc>
        <w:tc>
          <w:tcPr>
            <w:tcW w:w="1521" w:type="dxa"/>
            <w:tcBorders>
              <w:tl2br w:val="nil"/>
              <w:tr2bl w:val="nil"/>
            </w:tcBorders>
            <w:noWrap w:val="0"/>
            <w:vAlign w:val="center"/>
          </w:tcPr>
          <w:p w14:paraId="05C6053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  <w:t>覆土来源</w:t>
            </w:r>
          </w:p>
        </w:tc>
      </w:tr>
      <w:tr w14:paraId="1D8D3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</w:trPr>
        <w:tc>
          <w:tcPr>
            <w:tcW w:w="1477" w:type="dxa"/>
            <w:tcBorders>
              <w:tl2br w:val="nil"/>
              <w:tr2bl w:val="nil"/>
            </w:tcBorders>
            <w:noWrap w:val="0"/>
            <w:vAlign w:val="center"/>
          </w:tcPr>
          <w:p w14:paraId="6DD3827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采石场</w:t>
            </w:r>
          </w:p>
        </w:tc>
        <w:tc>
          <w:tcPr>
            <w:tcW w:w="1449" w:type="dxa"/>
            <w:tcBorders>
              <w:tl2br w:val="nil"/>
              <w:tr2bl w:val="nil"/>
            </w:tcBorders>
            <w:noWrap w:val="0"/>
            <w:vAlign w:val="center"/>
          </w:tcPr>
          <w:p w14:paraId="68EBE4A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Cs w:val="21"/>
                <w:lang w:val="en-US" w:eastAsia="zh-CN"/>
              </w:rPr>
              <w:t>林地</w:t>
            </w:r>
          </w:p>
        </w:tc>
        <w:tc>
          <w:tcPr>
            <w:tcW w:w="1211" w:type="dxa"/>
            <w:tcBorders>
              <w:tl2br w:val="nil"/>
              <w:tr2bl w:val="nil"/>
            </w:tcBorders>
            <w:noWrap w:val="0"/>
            <w:vAlign w:val="center"/>
          </w:tcPr>
          <w:p w14:paraId="49B6554C">
            <w:pPr>
              <w:widowControl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5.7398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0AC7D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</w:t>
            </w:r>
          </w:p>
        </w:tc>
        <w:tc>
          <w:tcPr>
            <w:tcW w:w="1115" w:type="dxa"/>
            <w:tcBorders>
              <w:tl2br w:val="nil"/>
              <w:tr2bl w:val="nil"/>
            </w:tcBorders>
            <w:noWrap w:val="0"/>
            <w:vAlign w:val="center"/>
          </w:tcPr>
          <w:p w14:paraId="06D213AA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1.72</w:t>
            </w:r>
          </w:p>
        </w:tc>
        <w:tc>
          <w:tcPr>
            <w:tcW w:w="1222" w:type="dxa"/>
            <w:tcBorders>
              <w:tl2br w:val="nil"/>
              <w:tr2bl w:val="nil"/>
            </w:tcBorders>
            <w:noWrap w:val="0"/>
            <w:vAlign w:val="center"/>
          </w:tcPr>
          <w:p w14:paraId="0B392A21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1.72</w:t>
            </w:r>
          </w:p>
        </w:tc>
        <w:tc>
          <w:tcPr>
            <w:tcW w:w="1521" w:type="dxa"/>
            <w:tcBorders>
              <w:tl2br w:val="nil"/>
              <w:tr2bl w:val="nil"/>
            </w:tcBorders>
            <w:noWrap w:val="0"/>
            <w:vAlign w:val="center"/>
          </w:tcPr>
          <w:p w14:paraId="7CB9305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镇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  <w:lang w:val="zh-CN" w:eastAsia="zh-CN"/>
              </w:rPr>
              <w:t>政府统筹</w:t>
            </w:r>
          </w:p>
        </w:tc>
      </w:tr>
      <w:tr w14:paraId="513E0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477" w:type="dxa"/>
            <w:tcBorders>
              <w:tl2br w:val="nil"/>
              <w:tr2bl w:val="nil"/>
            </w:tcBorders>
            <w:noWrap w:val="0"/>
            <w:vAlign w:val="center"/>
          </w:tcPr>
          <w:p w14:paraId="40AAE28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  <w:t>合计</w:t>
            </w:r>
          </w:p>
        </w:tc>
        <w:tc>
          <w:tcPr>
            <w:tcW w:w="1449" w:type="dxa"/>
            <w:tcBorders>
              <w:tl2br w:val="nil"/>
              <w:tr2bl w:val="nil"/>
            </w:tcBorders>
            <w:noWrap w:val="0"/>
            <w:vAlign w:val="center"/>
          </w:tcPr>
          <w:p w14:paraId="399C9D3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  <w:t>　</w:t>
            </w:r>
          </w:p>
        </w:tc>
        <w:tc>
          <w:tcPr>
            <w:tcW w:w="1211" w:type="dxa"/>
            <w:tcBorders>
              <w:tl2br w:val="nil"/>
              <w:tr2bl w:val="nil"/>
            </w:tcBorders>
            <w:noWrap w:val="0"/>
            <w:vAlign w:val="center"/>
          </w:tcPr>
          <w:p w14:paraId="3FCE5126">
            <w:pPr>
              <w:widowControl/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5.7398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4775B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</w:t>
            </w:r>
          </w:p>
        </w:tc>
        <w:tc>
          <w:tcPr>
            <w:tcW w:w="1115" w:type="dxa"/>
            <w:tcBorders>
              <w:tl2br w:val="nil"/>
              <w:tr2bl w:val="nil"/>
            </w:tcBorders>
            <w:noWrap w:val="0"/>
            <w:vAlign w:val="center"/>
          </w:tcPr>
          <w:p w14:paraId="0302A505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1.72</w:t>
            </w:r>
          </w:p>
        </w:tc>
        <w:tc>
          <w:tcPr>
            <w:tcW w:w="1222" w:type="dxa"/>
            <w:tcBorders>
              <w:tl2br w:val="nil"/>
              <w:tr2bl w:val="nil"/>
            </w:tcBorders>
            <w:noWrap w:val="0"/>
            <w:vAlign w:val="center"/>
          </w:tcPr>
          <w:p w14:paraId="24BA83A2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1.72</w:t>
            </w:r>
          </w:p>
        </w:tc>
        <w:tc>
          <w:tcPr>
            <w:tcW w:w="1521" w:type="dxa"/>
            <w:tcBorders>
              <w:tl2br w:val="nil"/>
              <w:tr2bl w:val="nil"/>
            </w:tcBorders>
            <w:noWrap w:val="0"/>
            <w:vAlign w:val="center"/>
          </w:tcPr>
          <w:p w14:paraId="61C3BC4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</w:rPr>
            </w:pPr>
          </w:p>
        </w:tc>
      </w:tr>
    </w:tbl>
    <w:p w14:paraId="70E2795B">
      <w:pPr>
        <w:spacing w:line="264" w:lineRule="auto"/>
        <w:rPr>
          <w:rFonts w:ascii="Arial"/>
          <w:sz w:val="21"/>
        </w:rPr>
      </w:pPr>
    </w:p>
    <w:p w14:paraId="03B468F6">
      <w:pPr>
        <w:spacing w:line="264" w:lineRule="auto"/>
        <w:rPr>
          <w:rFonts w:ascii="Arial"/>
          <w:sz w:val="21"/>
        </w:rPr>
      </w:pPr>
    </w:p>
    <w:p w14:paraId="6A4A9DBD">
      <w:pPr>
        <w:spacing w:before="91" w:line="220" w:lineRule="auto"/>
        <w:ind w:left="5336"/>
        <w:rPr>
          <w:rFonts w:hint="eastAsia" w:ascii="宋体" w:hAnsi="宋体" w:eastAsia="宋体" w:cs="宋体"/>
          <w:b/>
          <w:bCs/>
          <w:spacing w:val="-3"/>
          <w:sz w:val="28"/>
          <w:szCs w:val="28"/>
          <w:lang w:val="en-US" w:eastAsia="zh-CN"/>
        </w:rPr>
      </w:pPr>
    </w:p>
    <w:p w14:paraId="6B0E463F">
      <w:pPr>
        <w:spacing w:before="91" w:line="220" w:lineRule="auto"/>
        <w:ind w:left="5336"/>
        <w:rPr>
          <w:rFonts w:hint="eastAsia" w:ascii="宋体" w:hAnsi="宋体" w:eastAsia="宋体" w:cs="宋体"/>
          <w:b/>
          <w:bCs/>
          <w:spacing w:val="-3"/>
          <w:sz w:val="28"/>
          <w:szCs w:val="28"/>
          <w:lang w:val="en-US" w:eastAsia="zh-CN"/>
        </w:rPr>
      </w:pPr>
    </w:p>
    <w:p w14:paraId="1971F5D6">
      <w:pPr>
        <w:spacing w:before="91" w:line="220" w:lineRule="auto"/>
        <w:ind w:left="5336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lang w:val="en-US" w:eastAsia="zh-CN"/>
        </w:rPr>
        <w:t>鸡东县哈达镇</w:t>
      </w:r>
      <w:r>
        <w:rPr>
          <w:rFonts w:ascii="宋体" w:hAnsi="宋体" w:eastAsia="宋体" w:cs="宋体"/>
          <w:b/>
          <w:bCs/>
          <w:spacing w:val="-3"/>
          <w:sz w:val="28"/>
          <w:szCs w:val="28"/>
        </w:rPr>
        <w:t>人民政府</w:t>
      </w:r>
    </w:p>
    <w:sectPr>
      <w:pgSz w:w="11906" w:h="16839"/>
      <w:pgMar w:top="1431" w:right="1460" w:bottom="0" w:left="1687" w:header="0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5F7F5D02-11AC-451F-86B5-03B15E2742CA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8408B226-D64F-4907-8FDB-4883C7D7225F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embedTrueTypeFonts/>
  <w:saveSubsetFonts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06A14B9"/>
    <w:rsid w:val="16FA5DE0"/>
    <w:rsid w:val="1A9E141F"/>
    <w:rsid w:val="200D2AF1"/>
    <w:rsid w:val="4BA97BB6"/>
    <w:rsid w:val="4CF542D3"/>
    <w:rsid w:val="5FBC3EB1"/>
    <w:rsid w:val="62707EC5"/>
    <w:rsid w:val="68B166E3"/>
    <w:rsid w:val="7FF1341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220</Words>
  <Characters>276</Characters>
  <TotalTime>8</TotalTime>
  <ScaleCrop>false</ScaleCrop>
  <LinksUpToDate>false</LinksUpToDate>
  <CharactersWithSpaces>277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2025-07-13T09:06:00Z</dcterms:created>
  <dc:creator>Administrator</dc:creator>
  <cp:lastModifiedBy>梧桐雨</cp:lastModifiedBy>
  <dcterms:modified xsi:type="dcterms:W3CDTF">2026-08-09T12:08:13Z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2026-04-19T19:10:38Z</vt:filetime>
  </property>
  <property fmtid="{D5CDD505-2E9C-101B-9397-08002B2CF9AE}" pid="4" name="KSOTemplateDocerSaveRecord">
    <vt:lpwstr>eyJoZGlkIjoiZDdiMTg5Y2Y2YmFlNzYxYTkzOGVjNjBlMzc5MzY0ODEiLCJ1c2VySWQiOiIzMjkzNTQ4MDQifQ==</vt:lpwstr>
  </property>
  <property fmtid="{D5CDD505-2E9C-101B-9397-08002B2CF9AE}" pid="5" name="KSOProductBuildVer">
    <vt:lpwstr>2052-12.1.0.28043</vt:lpwstr>
  </property>
  <property fmtid="{D5CDD505-2E9C-101B-9397-08002B2CF9AE}" pid="6" name="ICV">
    <vt:lpwstr>B360A47DAAC54820825DF308086B8DF7_13</vt:lpwstr>
  </property>
</Properties>
</file>