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F7BB17">
      <w:pPr>
        <w:rPr>
          <w:rFonts w:hint="default" w:ascii="Times New Roman" w:hAnsi="Times New Roman" w:cs="Times New Roman"/>
        </w:rPr>
      </w:pPr>
    </w:p>
    <w:p w14:paraId="30DC8BA2">
      <w:pPr>
        <w:rPr>
          <w:rFonts w:hint="default" w:ascii="Times New Roman" w:hAnsi="Times New Roman" w:cs="Times New Roman"/>
        </w:rPr>
      </w:pPr>
    </w:p>
    <w:p w14:paraId="506EEF81">
      <w:pPr>
        <w:rPr>
          <w:rFonts w:hint="default" w:ascii="Times New Roman" w:hAnsi="Times New Roman" w:cs="Times New Roman"/>
        </w:rPr>
      </w:pPr>
    </w:p>
    <w:p w14:paraId="50B9B67F">
      <w:pPr>
        <w:tabs>
          <w:tab w:val="left" w:pos="2669"/>
        </w:tabs>
        <w:rPr>
          <w:rFonts w:hint="default" w:ascii="Times New Roman" w:hAnsi="Times New Roman" w:cs="Times New Roman" w:eastAsiaTheme="minorEastAsia"/>
          <w:lang w:eastAsia="zh-CN"/>
        </w:rPr>
      </w:pPr>
      <w:r>
        <w:rPr>
          <w:rFonts w:hint="default" w:ascii="Times New Roman" w:hAnsi="Times New Roman" w:cs="Times New Roman"/>
          <w:lang w:eastAsia="zh-CN"/>
        </w:rPr>
        <w:tab/>
      </w:r>
    </w:p>
    <w:p w14:paraId="3C1723B2">
      <w:pPr>
        <w:rPr>
          <w:rFonts w:hint="default" w:ascii="Times New Roman" w:hAnsi="Times New Roman" w:cs="Times New Roman"/>
        </w:rPr>
      </w:pPr>
    </w:p>
    <w:p w14:paraId="2EDB4431">
      <w:pPr>
        <w:rPr>
          <w:rFonts w:hint="default" w:ascii="Times New Roman" w:hAnsi="Times New Roman" w:cs="Times New Roman"/>
        </w:rPr>
      </w:pPr>
    </w:p>
    <w:p w14:paraId="00D7732F">
      <w:pPr>
        <w:rPr>
          <w:rFonts w:hint="default" w:ascii="Times New Roman" w:hAnsi="Times New Roman" w:cs="Times New Roman"/>
        </w:rPr>
      </w:pPr>
    </w:p>
    <w:p w14:paraId="2431F970">
      <w:pPr>
        <w:rPr>
          <w:rFonts w:hint="default" w:ascii="Times New Roman" w:hAnsi="Times New Roman" w:cs="Times New Roman"/>
        </w:rPr>
      </w:pPr>
    </w:p>
    <w:p w14:paraId="3010A76F">
      <w:pPr>
        <w:rPr>
          <w:rFonts w:hint="default" w:ascii="Times New Roman" w:hAnsi="Times New Roman" w:cs="Times New Roman"/>
        </w:rPr>
      </w:pPr>
    </w:p>
    <w:p w14:paraId="4070B042">
      <w:pPr>
        <w:spacing w:line="1000" w:lineRule="exact"/>
        <w:jc w:val="center"/>
        <w:rPr>
          <w:rFonts w:hint="default" w:ascii="Times New Roman" w:hAnsi="Times New Roman" w:eastAsia="方正仿宋_GB18030" w:cs="Times New Roman"/>
          <w:b/>
          <w:bCs/>
          <w:sz w:val="48"/>
          <w:szCs w:val="48"/>
        </w:rPr>
      </w:pPr>
      <w:r>
        <w:rPr>
          <w:rFonts w:hint="eastAsia" w:ascii="Times New Roman" w:hAnsi="Times New Roman" w:eastAsia="方正仿宋_GB18030" w:cs="Times New Roman"/>
          <w:b/>
          <w:bCs/>
          <w:sz w:val="48"/>
          <w:szCs w:val="48"/>
          <w:lang w:eastAsia="zh-CN"/>
        </w:rPr>
        <w:t>鸡东县</w:t>
      </w:r>
      <w:r>
        <w:rPr>
          <w:rFonts w:hint="default" w:ascii="Times New Roman" w:hAnsi="Times New Roman" w:eastAsia="方正仿宋_GB18030" w:cs="Times New Roman"/>
          <w:b/>
          <w:bCs/>
          <w:sz w:val="48"/>
          <w:szCs w:val="48"/>
          <w:lang w:eastAsia="zh-CN"/>
        </w:rPr>
        <w:t>2025</w:t>
      </w:r>
      <w:bookmarkStart w:id="265" w:name="_GoBack"/>
      <w:bookmarkEnd w:id="265"/>
      <w:r>
        <w:rPr>
          <w:rFonts w:hint="default" w:ascii="Times New Roman" w:hAnsi="Times New Roman" w:eastAsia="方正仿宋_GB18030" w:cs="Times New Roman"/>
          <w:b/>
          <w:bCs/>
          <w:sz w:val="48"/>
          <w:szCs w:val="48"/>
          <w:lang w:eastAsia="zh-CN"/>
        </w:rPr>
        <w:t>年度</w:t>
      </w:r>
      <w:r>
        <w:rPr>
          <w:rFonts w:hint="default" w:ascii="Times New Roman" w:hAnsi="Times New Roman" w:eastAsia="方正仿宋_GB18030" w:cs="Times New Roman"/>
          <w:b/>
          <w:bCs/>
          <w:sz w:val="48"/>
          <w:szCs w:val="48"/>
        </w:rPr>
        <w:t>土地征收</w:t>
      </w:r>
    </w:p>
    <w:p w14:paraId="1B212348">
      <w:pPr>
        <w:spacing w:line="1000" w:lineRule="exact"/>
        <w:jc w:val="center"/>
        <w:rPr>
          <w:rFonts w:hint="eastAsia" w:ascii="Times New Roman" w:hAnsi="Times New Roman" w:eastAsia="方正仿宋_GB18030" w:cs="Times New Roman"/>
          <w:b/>
          <w:bCs/>
          <w:sz w:val="48"/>
          <w:szCs w:val="48"/>
          <w:lang w:eastAsia="zh-CN"/>
        </w:rPr>
      </w:pPr>
      <w:r>
        <w:rPr>
          <w:rFonts w:hint="default" w:ascii="Times New Roman" w:hAnsi="Times New Roman" w:eastAsia="方正仿宋_GB18030" w:cs="Times New Roman"/>
          <w:b/>
          <w:bCs/>
          <w:sz w:val="48"/>
          <w:szCs w:val="48"/>
        </w:rPr>
        <w:t>成片开发方案</w:t>
      </w:r>
      <w:r>
        <w:rPr>
          <w:rFonts w:hint="eastAsia" w:ascii="Times New Roman" w:hAnsi="Times New Roman" w:eastAsia="方正仿宋_GB18030" w:cs="Times New Roman"/>
          <w:b/>
          <w:bCs/>
          <w:sz w:val="48"/>
          <w:szCs w:val="48"/>
          <w:lang w:eastAsia="zh-CN"/>
        </w:rPr>
        <w:t>（</w:t>
      </w:r>
      <w:r>
        <w:rPr>
          <w:rFonts w:hint="eastAsia" w:ascii="Times New Roman" w:hAnsi="Times New Roman" w:eastAsia="方正仿宋_GB18030" w:cs="Times New Roman"/>
          <w:b/>
          <w:bCs/>
          <w:sz w:val="48"/>
          <w:szCs w:val="48"/>
          <w:lang w:val="en-US" w:eastAsia="zh-CN"/>
        </w:rPr>
        <w:t>征求意见稿</w:t>
      </w:r>
      <w:r>
        <w:rPr>
          <w:rFonts w:hint="eastAsia" w:ascii="Times New Roman" w:hAnsi="Times New Roman" w:eastAsia="方正仿宋_GB18030" w:cs="Times New Roman"/>
          <w:b/>
          <w:bCs/>
          <w:sz w:val="48"/>
          <w:szCs w:val="48"/>
          <w:lang w:eastAsia="zh-CN"/>
        </w:rPr>
        <w:t>）</w:t>
      </w:r>
    </w:p>
    <w:p w14:paraId="7EE70DC4">
      <w:pPr>
        <w:rPr>
          <w:rFonts w:hint="default" w:ascii="Times New Roman" w:hAnsi="Times New Roman" w:eastAsia="黑体" w:cs="Times New Roman"/>
          <w:sz w:val="44"/>
          <w:szCs w:val="44"/>
        </w:rPr>
      </w:pPr>
    </w:p>
    <w:p w14:paraId="1B03CE68">
      <w:pPr>
        <w:rPr>
          <w:rFonts w:hint="default" w:ascii="Times New Roman" w:hAnsi="Times New Roman" w:cs="Times New Roman"/>
        </w:rPr>
      </w:pPr>
    </w:p>
    <w:p w14:paraId="207CCEAE">
      <w:pPr>
        <w:rPr>
          <w:rFonts w:hint="default" w:ascii="Times New Roman" w:hAnsi="Times New Roman" w:cs="Times New Roman"/>
        </w:rPr>
      </w:pPr>
    </w:p>
    <w:p w14:paraId="7416BFFF">
      <w:pPr>
        <w:rPr>
          <w:rFonts w:hint="default" w:ascii="Times New Roman" w:hAnsi="Times New Roman" w:cs="Times New Roman"/>
        </w:rPr>
      </w:pPr>
    </w:p>
    <w:p w14:paraId="51B2274C">
      <w:pPr>
        <w:rPr>
          <w:rFonts w:hint="default" w:ascii="Times New Roman" w:hAnsi="Times New Roman" w:cs="Times New Roman"/>
        </w:rPr>
      </w:pPr>
    </w:p>
    <w:p w14:paraId="1898E77B">
      <w:pPr>
        <w:rPr>
          <w:rFonts w:hint="default" w:ascii="Times New Roman" w:hAnsi="Times New Roman" w:cs="Times New Roman"/>
        </w:rPr>
      </w:pPr>
    </w:p>
    <w:p w14:paraId="7EA95CCD">
      <w:pPr>
        <w:rPr>
          <w:rFonts w:hint="default" w:ascii="Times New Roman" w:hAnsi="Times New Roman" w:cs="Times New Roman"/>
        </w:rPr>
      </w:pPr>
    </w:p>
    <w:p w14:paraId="3FDBEEE8">
      <w:pPr>
        <w:rPr>
          <w:rFonts w:hint="default" w:ascii="Times New Roman" w:hAnsi="Times New Roman" w:cs="Times New Roman"/>
        </w:rPr>
      </w:pPr>
    </w:p>
    <w:p w14:paraId="78CABE35">
      <w:pPr>
        <w:rPr>
          <w:rFonts w:hint="default" w:ascii="Times New Roman" w:hAnsi="Times New Roman" w:cs="Times New Roman"/>
        </w:rPr>
      </w:pPr>
    </w:p>
    <w:p w14:paraId="02503BA2">
      <w:pPr>
        <w:rPr>
          <w:rFonts w:hint="default" w:ascii="Times New Roman" w:hAnsi="Times New Roman" w:cs="Times New Roman"/>
        </w:rPr>
      </w:pPr>
    </w:p>
    <w:p w14:paraId="484BA053">
      <w:pPr>
        <w:pStyle w:val="18"/>
        <w:ind w:firstLine="210"/>
        <w:rPr>
          <w:rFonts w:hint="default" w:ascii="Times New Roman" w:hAnsi="Times New Roman" w:cs="Times New Roman"/>
        </w:rPr>
      </w:pPr>
    </w:p>
    <w:p w14:paraId="358DA601">
      <w:pPr>
        <w:rPr>
          <w:rFonts w:hint="default" w:ascii="Times New Roman" w:hAnsi="Times New Roman" w:cs="Times New Roman"/>
        </w:rPr>
      </w:pPr>
    </w:p>
    <w:p w14:paraId="418DAA43">
      <w:pPr>
        <w:rPr>
          <w:rFonts w:hint="default" w:ascii="Times New Roman" w:hAnsi="Times New Roman" w:cs="Times New Roman"/>
        </w:rPr>
      </w:pPr>
    </w:p>
    <w:p w14:paraId="2323BD30">
      <w:pPr>
        <w:rPr>
          <w:rFonts w:hint="default" w:ascii="Times New Roman" w:hAnsi="Times New Roman" w:cs="Times New Roman"/>
        </w:rPr>
      </w:pPr>
    </w:p>
    <w:p w14:paraId="7E7E73E2">
      <w:pPr>
        <w:pStyle w:val="18"/>
        <w:ind w:firstLine="210"/>
        <w:rPr>
          <w:rFonts w:hint="default" w:ascii="Times New Roman" w:hAnsi="Times New Roman" w:cs="Times New Roman"/>
        </w:rPr>
      </w:pPr>
    </w:p>
    <w:p w14:paraId="6E7324F4">
      <w:pPr>
        <w:rPr>
          <w:rFonts w:hint="default" w:ascii="Times New Roman" w:hAnsi="Times New Roman" w:cs="Times New Roman"/>
          <w:b/>
          <w:bCs/>
          <w:sz w:val="32"/>
          <w:szCs w:val="32"/>
        </w:rPr>
      </w:pPr>
    </w:p>
    <w:p w14:paraId="3D6C438D">
      <w:pPr>
        <w:pStyle w:val="18"/>
        <w:ind w:firstLine="0" w:firstLineChars="0"/>
        <w:rPr>
          <w:rFonts w:hint="default" w:ascii="Times New Roman" w:hAnsi="Times New Roman" w:cs="Times New Roman"/>
        </w:rPr>
      </w:pPr>
    </w:p>
    <w:p w14:paraId="5BF193CD">
      <w:pPr>
        <w:pStyle w:val="18"/>
        <w:ind w:firstLine="0" w:firstLineChars="0"/>
        <w:rPr>
          <w:rFonts w:hint="default" w:ascii="Times New Roman" w:hAnsi="Times New Roman" w:cs="Times New Roman"/>
        </w:rPr>
      </w:pPr>
    </w:p>
    <w:p w14:paraId="2D9CB7E8">
      <w:pPr>
        <w:jc w:val="center"/>
        <w:rPr>
          <w:rFonts w:hint="default" w:ascii="Times New Roman" w:hAnsi="Times New Roman" w:eastAsia="黑体" w:cs="Times New Roman"/>
          <w:b/>
          <w:bCs/>
          <w:sz w:val="32"/>
          <w:szCs w:val="32"/>
        </w:rPr>
      </w:pPr>
      <w:r>
        <w:rPr>
          <w:rFonts w:hint="eastAsia" w:ascii="Times New Roman" w:hAnsi="Times New Roman" w:eastAsia="黑体" w:cs="Times New Roman"/>
          <w:b/>
          <w:bCs/>
          <w:sz w:val="32"/>
          <w:szCs w:val="32"/>
          <w:lang w:eastAsia="zh-CN"/>
        </w:rPr>
        <w:t>鸡东县</w:t>
      </w:r>
      <w:r>
        <w:rPr>
          <w:rFonts w:hint="default" w:ascii="Times New Roman" w:hAnsi="Times New Roman" w:eastAsia="黑体" w:cs="Times New Roman"/>
          <w:b/>
          <w:bCs/>
          <w:sz w:val="32"/>
          <w:szCs w:val="32"/>
        </w:rPr>
        <w:t>人民政府</w:t>
      </w:r>
    </w:p>
    <w:p w14:paraId="23D7405F">
      <w:pPr>
        <w:jc w:val="center"/>
        <w:rPr>
          <w:rFonts w:hint="default" w:ascii="Times New Roman" w:hAnsi="Times New Roman" w:eastAsia="黑体" w:cs="Times New Roman"/>
          <w:b/>
          <w:bCs/>
          <w:sz w:val="32"/>
          <w:szCs w:val="32"/>
        </w:rPr>
      </w:pPr>
      <w:r>
        <w:rPr>
          <w:rFonts w:hint="default" w:ascii="Times New Roman" w:hAnsi="Times New Roman" w:eastAsia="黑体" w:cs="Times New Roman"/>
          <w:b/>
          <w:bCs/>
          <w:sz w:val="32"/>
          <w:szCs w:val="32"/>
        </w:rPr>
        <w:t>二〇二</w:t>
      </w:r>
      <w:r>
        <w:rPr>
          <w:rFonts w:hint="default" w:ascii="Times New Roman" w:hAnsi="Times New Roman" w:eastAsia="黑体" w:cs="Times New Roman"/>
          <w:b/>
          <w:bCs/>
          <w:sz w:val="32"/>
          <w:szCs w:val="32"/>
          <w:lang w:val="en-US" w:eastAsia="zh-CN"/>
        </w:rPr>
        <w:t>五</w:t>
      </w:r>
      <w:r>
        <w:rPr>
          <w:rFonts w:hint="default" w:ascii="Times New Roman" w:hAnsi="Times New Roman" w:eastAsia="黑体" w:cs="Times New Roman"/>
          <w:b/>
          <w:bCs/>
          <w:sz w:val="32"/>
          <w:szCs w:val="32"/>
        </w:rPr>
        <w:t>年</w:t>
      </w:r>
      <w:r>
        <w:rPr>
          <w:rFonts w:hint="eastAsia" w:ascii="Times New Roman" w:hAnsi="Times New Roman" w:eastAsia="黑体" w:cs="Times New Roman"/>
          <w:b/>
          <w:bCs/>
          <w:sz w:val="32"/>
          <w:szCs w:val="32"/>
          <w:lang w:val="en-US" w:eastAsia="zh-CN"/>
        </w:rPr>
        <w:t>六</w:t>
      </w:r>
      <w:r>
        <w:rPr>
          <w:rFonts w:hint="default" w:ascii="Times New Roman" w:hAnsi="Times New Roman" w:eastAsia="黑体" w:cs="Times New Roman"/>
          <w:b/>
          <w:bCs/>
          <w:sz w:val="32"/>
          <w:szCs w:val="32"/>
        </w:rPr>
        <w:t>月</w:t>
      </w:r>
    </w:p>
    <w:p w14:paraId="540B2F0A">
      <w:pPr>
        <w:jc w:val="center"/>
        <w:rPr>
          <w:rFonts w:hint="default" w:ascii="Times New Roman" w:hAnsi="Times New Roman" w:eastAsia="黑体" w:cs="Times New Roman"/>
          <w:sz w:val="30"/>
          <w:szCs w:val="30"/>
        </w:rPr>
      </w:pPr>
    </w:p>
    <w:p w14:paraId="554000EF">
      <w:pPr>
        <w:pStyle w:val="13"/>
        <w:tabs>
          <w:tab w:val="right" w:leader="dot" w:pos="8306"/>
        </w:tabs>
        <w:rPr>
          <w:rFonts w:hint="default" w:ascii="Times New Roman" w:hAnsi="Times New Roman" w:cs="Times New Roman"/>
        </w:rPr>
      </w:pPr>
      <w:bookmarkStart w:id="0" w:name="_Toc59049359"/>
    </w:p>
    <w:p w14:paraId="7BDCE089">
      <w:pPr>
        <w:pStyle w:val="13"/>
        <w:tabs>
          <w:tab w:val="right" w:leader="dot" w:pos="8306"/>
        </w:tabs>
        <w:rPr>
          <w:rFonts w:hint="default" w:ascii="Times New Roman" w:hAnsi="Times New Roman" w:cs="Times New Roman"/>
        </w:rPr>
      </w:pPr>
    </w:p>
    <w:p w14:paraId="5DF45CBF">
      <w:pPr>
        <w:pStyle w:val="13"/>
        <w:tabs>
          <w:tab w:val="right" w:leader="dot" w:pos="8306"/>
        </w:tabs>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heme="minorBidi"/>
          <w:kern w:val="2"/>
          <w:sz w:val="21"/>
          <w:szCs w:val="24"/>
          <w:lang w:val="en-US" w:eastAsia="zh-CN" w:bidi="ar-SA"/>
        </w:rPr>
        <w:id w:val="147481386"/>
        <w15:color w:val="DBDBDB"/>
        <w:docPartObj>
          <w:docPartGallery w:val="Table of Contents"/>
          <w:docPartUnique/>
        </w:docPartObj>
      </w:sdtPr>
      <w:sdtEndPr>
        <w:rPr>
          <w:rFonts w:ascii="宋体" w:hAnsi="宋体" w:eastAsia="宋体" w:cstheme="minorBidi"/>
          <w:kern w:val="2"/>
          <w:sz w:val="21"/>
          <w:szCs w:val="24"/>
          <w:lang w:val="en-US" w:eastAsia="zh-CN" w:bidi="ar-SA"/>
        </w:rPr>
      </w:sdtEndPr>
      <w:sdtContent>
        <w:p w14:paraId="331E1800">
          <w:pPr>
            <w:spacing w:before="0" w:beforeLines="0" w:after="0" w:afterLines="0" w:line="240" w:lineRule="auto"/>
            <w:ind w:left="0" w:leftChars="0" w:right="0" w:rightChars="0" w:firstLine="0" w:firstLineChars="0"/>
            <w:jc w:val="center"/>
          </w:pPr>
          <w:bookmarkStart w:id="1" w:name="_Toc19941"/>
          <w:r>
            <w:rPr>
              <w:rFonts w:hint="eastAsia" w:ascii="黑体" w:hAnsi="黑体" w:eastAsia="黑体" w:cs="黑体"/>
              <w:sz w:val="32"/>
              <w:szCs w:val="32"/>
            </w:rPr>
            <w:t>目</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录</w:t>
          </w:r>
        </w:p>
        <w:p w14:paraId="4991E201">
          <w:pPr>
            <w:pStyle w:val="13"/>
            <w:tabs>
              <w:tab w:val="right" w:leader="dot" w:pos="8306"/>
            </w:tabs>
          </w:pPr>
          <w:r>
            <w:fldChar w:fldCharType="begin"/>
          </w:r>
          <w:r>
            <w:instrText xml:space="preserve">TOC \o "1-3" \h \u </w:instrText>
          </w:r>
          <w:r>
            <w:fldChar w:fldCharType="separate"/>
          </w:r>
          <w:r>
            <w:fldChar w:fldCharType="begin"/>
          </w:r>
          <w:r>
            <w:instrText xml:space="preserve"> HYPERLINK \l _Toc3504 </w:instrText>
          </w:r>
          <w:r>
            <w:fldChar w:fldCharType="separate"/>
          </w:r>
          <w:r>
            <w:rPr>
              <w:rFonts w:hint="default" w:ascii="Times New Roman" w:hAnsi="Times New Roman" w:eastAsia="黑体" w:cs="Times New Roman"/>
              <w:szCs w:val="32"/>
            </w:rPr>
            <w:t>前  言</w:t>
          </w:r>
          <w:r>
            <w:tab/>
          </w:r>
          <w:r>
            <w:fldChar w:fldCharType="begin"/>
          </w:r>
          <w:r>
            <w:instrText xml:space="preserve"> PAGEREF _Toc3504 \h </w:instrText>
          </w:r>
          <w:r>
            <w:fldChar w:fldCharType="separate"/>
          </w:r>
          <w:r>
            <w:t>1</w:t>
          </w:r>
          <w:r>
            <w:fldChar w:fldCharType="end"/>
          </w:r>
          <w:r>
            <w:fldChar w:fldCharType="end"/>
          </w:r>
        </w:p>
        <w:p w14:paraId="0F660357">
          <w:pPr>
            <w:pStyle w:val="13"/>
            <w:tabs>
              <w:tab w:val="right" w:leader="dot" w:pos="8306"/>
            </w:tabs>
          </w:pPr>
          <w:r>
            <w:fldChar w:fldCharType="begin"/>
          </w:r>
          <w:r>
            <w:instrText xml:space="preserve"> HYPERLINK \l _Toc4342 </w:instrText>
          </w:r>
          <w:r>
            <w:fldChar w:fldCharType="separate"/>
          </w:r>
          <w:r>
            <w:rPr>
              <w:rFonts w:hint="default" w:ascii="Times New Roman" w:hAnsi="Times New Roman" w:eastAsia="黑体" w:cs="Times New Roman"/>
              <w:szCs w:val="32"/>
            </w:rPr>
            <w:t>1.概述</w:t>
          </w:r>
          <w:r>
            <w:tab/>
          </w:r>
          <w:r>
            <w:fldChar w:fldCharType="begin"/>
          </w:r>
          <w:r>
            <w:instrText xml:space="preserve"> PAGEREF _Toc4342 \h </w:instrText>
          </w:r>
          <w:r>
            <w:fldChar w:fldCharType="separate"/>
          </w:r>
          <w:r>
            <w:t>2</w:t>
          </w:r>
          <w:r>
            <w:fldChar w:fldCharType="end"/>
          </w:r>
          <w:r>
            <w:fldChar w:fldCharType="end"/>
          </w:r>
        </w:p>
        <w:p w14:paraId="126C5EDF">
          <w:pPr>
            <w:pStyle w:val="15"/>
            <w:tabs>
              <w:tab w:val="right" w:leader="dot" w:pos="8306"/>
            </w:tabs>
          </w:pPr>
          <w:r>
            <w:fldChar w:fldCharType="begin"/>
          </w:r>
          <w:r>
            <w:instrText xml:space="preserve"> HYPERLINK \l _Toc7919 </w:instrText>
          </w:r>
          <w:r>
            <w:fldChar w:fldCharType="separate"/>
          </w:r>
          <w:r>
            <w:rPr>
              <w:rFonts w:hint="default" w:ascii="Times New Roman" w:hAnsi="Times New Roman" w:eastAsia="方正楷体_GB2312" w:cs="Times New Roman"/>
            </w:rPr>
            <w:t>1.1编制背景</w:t>
          </w:r>
          <w:r>
            <w:tab/>
          </w:r>
          <w:r>
            <w:fldChar w:fldCharType="begin"/>
          </w:r>
          <w:r>
            <w:instrText xml:space="preserve"> PAGEREF _Toc7919 \h </w:instrText>
          </w:r>
          <w:r>
            <w:fldChar w:fldCharType="separate"/>
          </w:r>
          <w:r>
            <w:t>2</w:t>
          </w:r>
          <w:r>
            <w:fldChar w:fldCharType="end"/>
          </w:r>
          <w:r>
            <w:fldChar w:fldCharType="end"/>
          </w:r>
        </w:p>
        <w:p w14:paraId="2F1A259F">
          <w:pPr>
            <w:pStyle w:val="15"/>
            <w:tabs>
              <w:tab w:val="right" w:leader="dot" w:pos="8306"/>
            </w:tabs>
          </w:pPr>
          <w:r>
            <w:fldChar w:fldCharType="begin"/>
          </w:r>
          <w:r>
            <w:instrText xml:space="preserve"> HYPERLINK \l _Toc5207 </w:instrText>
          </w:r>
          <w:r>
            <w:fldChar w:fldCharType="separate"/>
          </w:r>
          <w:r>
            <w:rPr>
              <w:rFonts w:hint="default" w:ascii="Times New Roman" w:hAnsi="Times New Roman" w:eastAsia="方正楷体_GB2312" w:cs="Times New Roman"/>
            </w:rPr>
            <w:t>1.2编制原则</w:t>
          </w:r>
          <w:r>
            <w:tab/>
          </w:r>
          <w:r>
            <w:fldChar w:fldCharType="begin"/>
          </w:r>
          <w:r>
            <w:instrText xml:space="preserve"> PAGEREF _Toc5207 \h </w:instrText>
          </w:r>
          <w:r>
            <w:fldChar w:fldCharType="separate"/>
          </w:r>
          <w:r>
            <w:t>2</w:t>
          </w:r>
          <w:r>
            <w:fldChar w:fldCharType="end"/>
          </w:r>
          <w:r>
            <w:fldChar w:fldCharType="end"/>
          </w:r>
        </w:p>
        <w:p w14:paraId="46F8525F">
          <w:pPr>
            <w:pStyle w:val="15"/>
            <w:tabs>
              <w:tab w:val="right" w:leader="dot" w:pos="8306"/>
            </w:tabs>
          </w:pPr>
          <w:r>
            <w:fldChar w:fldCharType="begin"/>
          </w:r>
          <w:r>
            <w:instrText xml:space="preserve"> HYPERLINK \l _Toc25113 </w:instrText>
          </w:r>
          <w:r>
            <w:fldChar w:fldCharType="separate"/>
          </w:r>
          <w:r>
            <w:rPr>
              <w:rFonts w:hint="default" w:ascii="Times New Roman" w:hAnsi="Times New Roman" w:eastAsia="方正楷体_GB2312" w:cs="Times New Roman"/>
            </w:rPr>
            <w:t>1.3编制依据</w:t>
          </w:r>
          <w:r>
            <w:tab/>
          </w:r>
          <w:r>
            <w:fldChar w:fldCharType="begin"/>
          </w:r>
          <w:r>
            <w:instrText xml:space="preserve"> PAGEREF _Toc25113 \h </w:instrText>
          </w:r>
          <w:r>
            <w:fldChar w:fldCharType="separate"/>
          </w:r>
          <w:r>
            <w:t>4</w:t>
          </w:r>
          <w:r>
            <w:fldChar w:fldCharType="end"/>
          </w:r>
          <w:r>
            <w:fldChar w:fldCharType="end"/>
          </w:r>
        </w:p>
        <w:p w14:paraId="6746E1C7">
          <w:pPr>
            <w:pStyle w:val="15"/>
            <w:tabs>
              <w:tab w:val="right" w:leader="dot" w:pos="8306"/>
            </w:tabs>
          </w:pPr>
          <w:r>
            <w:fldChar w:fldCharType="begin"/>
          </w:r>
          <w:r>
            <w:instrText xml:space="preserve"> HYPERLINK \l _Toc2838 </w:instrText>
          </w:r>
          <w:r>
            <w:fldChar w:fldCharType="separate"/>
          </w:r>
          <w:r>
            <w:rPr>
              <w:rFonts w:hint="default" w:ascii="Times New Roman" w:hAnsi="Times New Roman" w:eastAsia="方正楷体_GB2312" w:cs="Times New Roman"/>
            </w:rPr>
            <w:t>1.4编制目的</w:t>
          </w:r>
          <w:r>
            <w:tab/>
          </w:r>
          <w:r>
            <w:fldChar w:fldCharType="begin"/>
          </w:r>
          <w:r>
            <w:instrText xml:space="preserve"> PAGEREF _Toc2838 \h </w:instrText>
          </w:r>
          <w:r>
            <w:fldChar w:fldCharType="separate"/>
          </w:r>
          <w:r>
            <w:t>7</w:t>
          </w:r>
          <w:r>
            <w:fldChar w:fldCharType="end"/>
          </w:r>
          <w:r>
            <w:fldChar w:fldCharType="end"/>
          </w:r>
        </w:p>
        <w:p w14:paraId="444472FD">
          <w:pPr>
            <w:pStyle w:val="15"/>
            <w:tabs>
              <w:tab w:val="right" w:leader="dot" w:pos="8306"/>
            </w:tabs>
          </w:pPr>
          <w:r>
            <w:fldChar w:fldCharType="begin"/>
          </w:r>
          <w:r>
            <w:instrText xml:space="preserve"> HYPERLINK \l _Toc17601 </w:instrText>
          </w:r>
          <w:r>
            <w:fldChar w:fldCharType="separate"/>
          </w:r>
          <w:r>
            <w:rPr>
              <w:rFonts w:hint="default" w:ascii="Times New Roman" w:hAnsi="Times New Roman" w:eastAsia="方正楷体_GB2312" w:cs="Times New Roman"/>
            </w:rPr>
            <w:t>1.5编制条件</w:t>
          </w:r>
          <w:r>
            <w:tab/>
          </w:r>
          <w:r>
            <w:fldChar w:fldCharType="begin"/>
          </w:r>
          <w:r>
            <w:instrText xml:space="preserve"> PAGEREF _Toc17601 \h </w:instrText>
          </w:r>
          <w:r>
            <w:fldChar w:fldCharType="separate"/>
          </w:r>
          <w:r>
            <w:t>8</w:t>
          </w:r>
          <w:r>
            <w:fldChar w:fldCharType="end"/>
          </w:r>
          <w:r>
            <w:fldChar w:fldCharType="end"/>
          </w:r>
        </w:p>
        <w:p w14:paraId="1E50E760">
          <w:pPr>
            <w:pStyle w:val="15"/>
            <w:tabs>
              <w:tab w:val="right" w:leader="dot" w:pos="8306"/>
            </w:tabs>
          </w:pPr>
          <w:r>
            <w:fldChar w:fldCharType="begin"/>
          </w:r>
          <w:r>
            <w:instrText xml:space="preserve"> HYPERLINK \l _Toc30598 </w:instrText>
          </w:r>
          <w:r>
            <w:fldChar w:fldCharType="separate"/>
          </w:r>
          <w:r>
            <w:rPr>
              <w:rFonts w:hint="default" w:ascii="Times New Roman" w:hAnsi="Times New Roman" w:eastAsia="方正楷体_GB2312" w:cs="Times New Roman"/>
            </w:rPr>
            <w:t>1.6实施周期</w:t>
          </w:r>
          <w:r>
            <w:tab/>
          </w:r>
          <w:r>
            <w:fldChar w:fldCharType="begin"/>
          </w:r>
          <w:r>
            <w:instrText xml:space="preserve"> PAGEREF _Toc30598 \h </w:instrText>
          </w:r>
          <w:r>
            <w:fldChar w:fldCharType="separate"/>
          </w:r>
          <w:r>
            <w:t>8</w:t>
          </w:r>
          <w:r>
            <w:fldChar w:fldCharType="end"/>
          </w:r>
          <w:r>
            <w:fldChar w:fldCharType="end"/>
          </w:r>
        </w:p>
        <w:p w14:paraId="2DBE0F79">
          <w:pPr>
            <w:pStyle w:val="13"/>
            <w:tabs>
              <w:tab w:val="right" w:leader="dot" w:pos="8306"/>
            </w:tabs>
          </w:pPr>
          <w:r>
            <w:fldChar w:fldCharType="begin"/>
          </w:r>
          <w:r>
            <w:instrText xml:space="preserve"> HYPERLINK \l _Toc1753 </w:instrText>
          </w:r>
          <w:r>
            <w:fldChar w:fldCharType="separate"/>
          </w:r>
          <w:r>
            <w:rPr>
              <w:rFonts w:hint="default" w:ascii="Times New Roman" w:hAnsi="Times New Roman" w:eastAsia="黑体" w:cs="Times New Roman"/>
              <w:szCs w:val="32"/>
            </w:rPr>
            <w:t>2.基本情况</w:t>
          </w:r>
          <w:r>
            <w:tab/>
          </w:r>
          <w:r>
            <w:fldChar w:fldCharType="begin"/>
          </w:r>
          <w:r>
            <w:instrText xml:space="preserve"> PAGEREF _Toc1753 \h </w:instrText>
          </w:r>
          <w:r>
            <w:fldChar w:fldCharType="separate"/>
          </w:r>
          <w:r>
            <w:t>9</w:t>
          </w:r>
          <w:r>
            <w:fldChar w:fldCharType="end"/>
          </w:r>
          <w:r>
            <w:fldChar w:fldCharType="end"/>
          </w:r>
        </w:p>
        <w:p w14:paraId="407B5802">
          <w:pPr>
            <w:pStyle w:val="15"/>
            <w:tabs>
              <w:tab w:val="right" w:leader="dot" w:pos="8306"/>
            </w:tabs>
          </w:pPr>
          <w:r>
            <w:fldChar w:fldCharType="begin"/>
          </w:r>
          <w:r>
            <w:instrText xml:space="preserve"> HYPERLINK \l _Toc19755 </w:instrText>
          </w:r>
          <w:r>
            <w:fldChar w:fldCharType="separate"/>
          </w:r>
          <w:r>
            <w:rPr>
              <w:rFonts w:hint="default" w:ascii="Times New Roman" w:hAnsi="Times New Roman" w:eastAsia="方正楷体_GB2312" w:cs="Times New Roman"/>
            </w:rPr>
            <w:t>2.1</w:t>
          </w:r>
          <w:r>
            <w:rPr>
              <w:rFonts w:hint="eastAsia" w:ascii="Times New Roman" w:hAnsi="Times New Roman" w:eastAsia="方正楷体_GB2312" w:cs="Times New Roman"/>
              <w:lang w:val="en-US" w:eastAsia="zh-CN"/>
            </w:rPr>
            <w:t>鸡东县</w:t>
          </w:r>
          <w:r>
            <w:rPr>
              <w:rFonts w:hint="default" w:ascii="Times New Roman" w:hAnsi="Times New Roman" w:eastAsia="方正楷体_GB2312" w:cs="Times New Roman"/>
            </w:rPr>
            <w:t>概况</w:t>
          </w:r>
          <w:r>
            <w:tab/>
          </w:r>
          <w:r>
            <w:fldChar w:fldCharType="begin"/>
          </w:r>
          <w:r>
            <w:instrText xml:space="preserve"> PAGEREF _Toc19755 \h </w:instrText>
          </w:r>
          <w:r>
            <w:fldChar w:fldCharType="separate"/>
          </w:r>
          <w:r>
            <w:t>9</w:t>
          </w:r>
          <w:r>
            <w:fldChar w:fldCharType="end"/>
          </w:r>
          <w:r>
            <w:fldChar w:fldCharType="end"/>
          </w:r>
        </w:p>
        <w:p w14:paraId="67C09481">
          <w:pPr>
            <w:pStyle w:val="8"/>
            <w:tabs>
              <w:tab w:val="right" w:leader="dot" w:pos="8306"/>
            </w:tabs>
          </w:pPr>
          <w:r>
            <w:fldChar w:fldCharType="begin"/>
          </w:r>
          <w:r>
            <w:instrText xml:space="preserve"> HYPERLINK \l _Toc7103 </w:instrText>
          </w:r>
          <w:r>
            <w:fldChar w:fldCharType="separate"/>
          </w:r>
          <w:r>
            <w:rPr>
              <w:rFonts w:hint="default" w:ascii="Times New Roman" w:hAnsi="Times New Roman" w:eastAsia="方正仿宋_GB18030" w:cs="Times New Roman"/>
              <w:szCs w:val="32"/>
              <w:lang w:val="en-US" w:eastAsia="zh-CN"/>
            </w:rPr>
            <w:t>2.2.1地理位置及行政区划</w:t>
          </w:r>
          <w:r>
            <w:tab/>
          </w:r>
          <w:r>
            <w:fldChar w:fldCharType="begin"/>
          </w:r>
          <w:r>
            <w:instrText xml:space="preserve"> PAGEREF _Toc7103 \h </w:instrText>
          </w:r>
          <w:r>
            <w:fldChar w:fldCharType="separate"/>
          </w:r>
          <w:r>
            <w:t>10</w:t>
          </w:r>
          <w:r>
            <w:fldChar w:fldCharType="end"/>
          </w:r>
          <w:r>
            <w:fldChar w:fldCharType="end"/>
          </w:r>
        </w:p>
        <w:p w14:paraId="26DBEFEC">
          <w:pPr>
            <w:pStyle w:val="8"/>
            <w:tabs>
              <w:tab w:val="right" w:leader="dot" w:pos="8306"/>
            </w:tabs>
          </w:pPr>
          <w:r>
            <w:fldChar w:fldCharType="begin"/>
          </w:r>
          <w:r>
            <w:instrText xml:space="preserve"> HYPERLINK \l _Toc4121 </w:instrText>
          </w:r>
          <w:r>
            <w:fldChar w:fldCharType="separate"/>
          </w:r>
          <w:r>
            <w:rPr>
              <w:rFonts w:hint="default" w:ascii="Times New Roman" w:hAnsi="Times New Roman" w:eastAsia="方正仿宋_GB18030" w:cs="Times New Roman"/>
              <w:szCs w:val="32"/>
              <w:lang w:val="en-US" w:eastAsia="zh-CN"/>
            </w:rPr>
            <w:t>2.2.2气候特点</w:t>
          </w:r>
          <w:r>
            <w:tab/>
          </w:r>
          <w:r>
            <w:fldChar w:fldCharType="begin"/>
          </w:r>
          <w:r>
            <w:instrText xml:space="preserve"> PAGEREF _Toc4121 \h </w:instrText>
          </w:r>
          <w:r>
            <w:fldChar w:fldCharType="separate"/>
          </w:r>
          <w:r>
            <w:t>10</w:t>
          </w:r>
          <w:r>
            <w:fldChar w:fldCharType="end"/>
          </w:r>
          <w:r>
            <w:fldChar w:fldCharType="end"/>
          </w:r>
        </w:p>
        <w:p w14:paraId="0B769037">
          <w:pPr>
            <w:pStyle w:val="8"/>
            <w:tabs>
              <w:tab w:val="right" w:leader="dot" w:pos="8306"/>
            </w:tabs>
          </w:pPr>
          <w:r>
            <w:fldChar w:fldCharType="begin"/>
          </w:r>
          <w:r>
            <w:instrText xml:space="preserve"> HYPERLINK \l _Toc1214 </w:instrText>
          </w:r>
          <w:r>
            <w:fldChar w:fldCharType="separate"/>
          </w:r>
          <w:r>
            <w:rPr>
              <w:rFonts w:hint="default" w:ascii="Times New Roman" w:hAnsi="Times New Roman" w:eastAsia="方正仿宋_GB18030" w:cs="Times New Roman"/>
              <w:szCs w:val="32"/>
              <w:lang w:val="en-US" w:eastAsia="zh-CN"/>
            </w:rPr>
            <w:t>2.2.3地形地貌</w:t>
          </w:r>
          <w:r>
            <w:tab/>
          </w:r>
          <w:r>
            <w:fldChar w:fldCharType="begin"/>
          </w:r>
          <w:r>
            <w:instrText xml:space="preserve"> PAGEREF _Toc1214 \h </w:instrText>
          </w:r>
          <w:r>
            <w:fldChar w:fldCharType="separate"/>
          </w:r>
          <w:r>
            <w:t>11</w:t>
          </w:r>
          <w:r>
            <w:fldChar w:fldCharType="end"/>
          </w:r>
          <w:r>
            <w:fldChar w:fldCharType="end"/>
          </w:r>
        </w:p>
        <w:p w14:paraId="63B899D3">
          <w:pPr>
            <w:pStyle w:val="8"/>
            <w:tabs>
              <w:tab w:val="right" w:leader="dot" w:pos="8306"/>
            </w:tabs>
          </w:pPr>
          <w:r>
            <w:fldChar w:fldCharType="begin"/>
          </w:r>
          <w:r>
            <w:instrText xml:space="preserve"> HYPERLINK \l _Toc7136 </w:instrText>
          </w:r>
          <w:r>
            <w:fldChar w:fldCharType="separate"/>
          </w:r>
          <w:r>
            <w:rPr>
              <w:rFonts w:hint="default" w:ascii="Times New Roman" w:hAnsi="Times New Roman" w:eastAsia="方正仿宋_GB18030" w:cs="Times New Roman"/>
              <w:szCs w:val="32"/>
              <w:lang w:val="en-US" w:eastAsia="zh-CN"/>
            </w:rPr>
            <w:t>2.2.4</w:t>
          </w:r>
          <w:r>
            <w:rPr>
              <w:rFonts w:hint="eastAsia" w:ascii="Times New Roman" w:eastAsia="方正仿宋_GB18030" w:cs="Times New Roman"/>
              <w:szCs w:val="32"/>
              <w:lang w:val="en-US" w:eastAsia="zh-CN"/>
            </w:rPr>
            <w:t>水文条件</w:t>
          </w:r>
          <w:r>
            <w:tab/>
          </w:r>
          <w:r>
            <w:fldChar w:fldCharType="begin"/>
          </w:r>
          <w:r>
            <w:instrText xml:space="preserve"> PAGEREF _Toc7136 \h </w:instrText>
          </w:r>
          <w:r>
            <w:fldChar w:fldCharType="separate"/>
          </w:r>
          <w:r>
            <w:t>12</w:t>
          </w:r>
          <w:r>
            <w:fldChar w:fldCharType="end"/>
          </w:r>
          <w:r>
            <w:fldChar w:fldCharType="end"/>
          </w:r>
        </w:p>
        <w:p w14:paraId="6A084CEC">
          <w:pPr>
            <w:pStyle w:val="8"/>
            <w:tabs>
              <w:tab w:val="right" w:leader="dot" w:pos="8306"/>
            </w:tabs>
          </w:pPr>
          <w:r>
            <w:fldChar w:fldCharType="begin"/>
          </w:r>
          <w:r>
            <w:instrText xml:space="preserve"> HYPERLINK \l _Toc30903 </w:instrText>
          </w:r>
          <w:r>
            <w:fldChar w:fldCharType="separate"/>
          </w:r>
          <w:r>
            <w:rPr>
              <w:rFonts w:hint="default" w:ascii="Times New Roman" w:hAnsi="Times New Roman" w:eastAsia="方正仿宋_GB18030" w:cs="Times New Roman"/>
              <w:szCs w:val="32"/>
              <w:lang w:val="en-US" w:eastAsia="zh-CN"/>
            </w:rPr>
            <w:t>2.2.5自然资源</w:t>
          </w:r>
          <w:r>
            <w:tab/>
          </w:r>
          <w:r>
            <w:fldChar w:fldCharType="begin"/>
          </w:r>
          <w:r>
            <w:instrText xml:space="preserve"> PAGEREF _Toc30903 \h </w:instrText>
          </w:r>
          <w:r>
            <w:fldChar w:fldCharType="separate"/>
          </w:r>
          <w:r>
            <w:t>12</w:t>
          </w:r>
          <w:r>
            <w:fldChar w:fldCharType="end"/>
          </w:r>
          <w:r>
            <w:fldChar w:fldCharType="end"/>
          </w:r>
        </w:p>
        <w:p w14:paraId="4680BDFD">
          <w:pPr>
            <w:pStyle w:val="8"/>
            <w:tabs>
              <w:tab w:val="right" w:leader="dot" w:pos="8306"/>
            </w:tabs>
          </w:pPr>
          <w:r>
            <w:fldChar w:fldCharType="begin"/>
          </w:r>
          <w:r>
            <w:instrText xml:space="preserve"> HYPERLINK \l _Toc14126 </w:instrText>
          </w:r>
          <w:r>
            <w:fldChar w:fldCharType="separate"/>
          </w:r>
          <w:r>
            <w:rPr>
              <w:rFonts w:hint="default" w:ascii="Times New Roman" w:hAnsi="Times New Roman" w:eastAsia="方正仿宋_GB18030" w:cs="Times New Roman"/>
              <w:szCs w:val="32"/>
              <w:lang w:val="en-US" w:eastAsia="zh-CN"/>
            </w:rPr>
            <w:t>2.2.6社会经济情况</w:t>
          </w:r>
          <w:r>
            <w:tab/>
          </w:r>
          <w:r>
            <w:fldChar w:fldCharType="begin"/>
          </w:r>
          <w:r>
            <w:instrText xml:space="preserve"> PAGEREF _Toc14126 \h </w:instrText>
          </w:r>
          <w:r>
            <w:fldChar w:fldCharType="separate"/>
          </w:r>
          <w:r>
            <w:t>14</w:t>
          </w:r>
          <w:r>
            <w:fldChar w:fldCharType="end"/>
          </w:r>
          <w:r>
            <w:fldChar w:fldCharType="end"/>
          </w:r>
        </w:p>
        <w:p w14:paraId="4F3DEB17">
          <w:pPr>
            <w:pStyle w:val="8"/>
            <w:tabs>
              <w:tab w:val="right" w:leader="dot" w:pos="8306"/>
            </w:tabs>
          </w:pPr>
          <w:r>
            <w:fldChar w:fldCharType="begin"/>
          </w:r>
          <w:r>
            <w:instrText xml:space="preserve"> HYPERLINK \l _Toc2494 </w:instrText>
          </w:r>
          <w:r>
            <w:fldChar w:fldCharType="separate"/>
          </w:r>
          <w:r>
            <w:rPr>
              <w:rFonts w:hint="default" w:ascii="Times New Roman" w:hAnsi="Times New Roman" w:eastAsia="方正仿宋_GB18030" w:cs="Times New Roman"/>
              <w:szCs w:val="32"/>
              <w:lang w:val="en-US" w:eastAsia="zh-CN"/>
            </w:rPr>
            <w:t>2.2.7土地利用现状</w:t>
          </w:r>
          <w:r>
            <w:tab/>
          </w:r>
          <w:r>
            <w:fldChar w:fldCharType="begin"/>
          </w:r>
          <w:r>
            <w:instrText xml:space="preserve"> PAGEREF _Toc2494 \h </w:instrText>
          </w:r>
          <w:r>
            <w:fldChar w:fldCharType="separate"/>
          </w:r>
          <w:r>
            <w:t>16</w:t>
          </w:r>
          <w:r>
            <w:fldChar w:fldCharType="end"/>
          </w:r>
          <w:r>
            <w:fldChar w:fldCharType="end"/>
          </w:r>
        </w:p>
        <w:p w14:paraId="437BD862">
          <w:pPr>
            <w:pStyle w:val="8"/>
            <w:tabs>
              <w:tab w:val="right" w:leader="dot" w:pos="8306"/>
            </w:tabs>
          </w:pPr>
          <w:r>
            <w:fldChar w:fldCharType="begin"/>
          </w:r>
          <w:r>
            <w:instrText xml:space="preserve"> HYPERLINK \l _Toc354 </w:instrText>
          </w:r>
          <w:r>
            <w:fldChar w:fldCharType="separate"/>
          </w:r>
          <w:r>
            <w:rPr>
              <w:rFonts w:hint="default" w:ascii="Times New Roman" w:hAnsi="Times New Roman" w:eastAsia="方正仿宋_GB18030" w:cs="Times New Roman"/>
              <w:szCs w:val="32"/>
              <w:lang w:val="en-US" w:eastAsia="zh-CN"/>
            </w:rPr>
            <w:t>2.2.8城乡发展情况</w:t>
          </w:r>
          <w:r>
            <w:tab/>
          </w:r>
          <w:r>
            <w:fldChar w:fldCharType="begin"/>
          </w:r>
          <w:r>
            <w:instrText xml:space="preserve"> PAGEREF _Toc354 \h </w:instrText>
          </w:r>
          <w:r>
            <w:fldChar w:fldCharType="separate"/>
          </w:r>
          <w:r>
            <w:t>18</w:t>
          </w:r>
          <w:r>
            <w:fldChar w:fldCharType="end"/>
          </w:r>
          <w:r>
            <w:fldChar w:fldCharType="end"/>
          </w:r>
        </w:p>
        <w:p w14:paraId="447B590B">
          <w:pPr>
            <w:pStyle w:val="15"/>
            <w:tabs>
              <w:tab w:val="right" w:leader="dot" w:pos="8306"/>
            </w:tabs>
          </w:pPr>
          <w:r>
            <w:fldChar w:fldCharType="begin"/>
          </w:r>
          <w:r>
            <w:instrText xml:space="preserve"> HYPERLINK \l _Toc16624 </w:instrText>
          </w:r>
          <w:r>
            <w:fldChar w:fldCharType="separate"/>
          </w:r>
          <w:r>
            <w:rPr>
              <w:rFonts w:hint="default" w:ascii="Times New Roman" w:hAnsi="Times New Roman" w:eastAsia="方正楷体_GB2312" w:cs="Times New Roman"/>
            </w:rPr>
            <w:t>2.2成片开发总体情况</w:t>
          </w:r>
          <w:r>
            <w:tab/>
          </w:r>
          <w:r>
            <w:fldChar w:fldCharType="begin"/>
          </w:r>
          <w:r>
            <w:instrText xml:space="preserve"> PAGEREF _Toc16624 \h </w:instrText>
          </w:r>
          <w:r>
            <w:fldChar w:fldCharType="separate"/>
          </w:r>
          <w:r>
            <w:t>20</w:t>
          </w:r>
          <w:r>
            <w:fldChar w:fldCharType="end"/>
          </w:r>
          <w:r>
            <w:fldChar w:fldCharType="end"/>
          </w:r>
        </w:p>
        <w:p w14:paraId="0BE7A3ED">
          <w:pPr>
            <w:pStyle w:val="15"/>
            <w:tabs>
              <w:tab w:val="right" w:leader="dot" w:pos="8306"/>
            </w:tabs>
          </w:pPr>
          <w:r>
            <w:fldChar w:fldCharType="begin"/>
          </w:r>
          <w:r>
            <w:instrText xml:space="preserve"> HYPERLINK \l _Toc29066 </w:instrText>
          </w:r>
          <w:r>
            <w:fldChar w:fldCharType="separate"/>
          </w:r>
          <w:r>
            <w:rPr>
              <w:rFonts w:hint="default" w:ascii="Times New Roman" w:hAnsi="Times New Roman" w:eastAsia="方正楷体_GB2312" w:cs="Times New Roman"/>
            </w:rPr>
            <w:t>2.3土地权属情况</w:t>
          </w:r>
          <w:r>
            <w:tab/>
          </w:r>
          <w:r>
            <w:fldChar w:fldCharType="begin"/>
          </w:r>
          <w:r>
            <w:instrText xml:space="preserve"> PAGEREF _Toc29066 \h </w:instrText>
          </w:r>
          <w:r>
            <w:fldChar w:fldCharType="separate"/>
          </w:r>
          <w:r>
            <w:t>22</w:t>
          </w:r>
          <w:r>
            <w:fldChar w:fldCharType="end"/>
          </w:r>
          <w:r>
            <w:fldChar w:fldCharType="end"/>
          </w:r>
        </w:p>
        <w:p w14:paraId="7B1605B8">
          <w:pPr>
            <w:pStyle w:val="15"/>
            <w:tabs>
              <w:tab w:val="right" w:leader="dot" w:pos="8306"/>
            </w:tabs>
          </w:pPr>
          <w:r>
            <w:fldChar w:fldCharType="begin"/>
          </w:r>
          <w:r>
            <w:instrText xml:space="preserve"> HYPERLINK \l _Toc10715 </w:instrText>
          </w:r>
          <w:r>
            <w:fldChar w:fldCharType="separate"/>
          </w:r>
          <w:r>
            <w:rPr>
              <w:rFonts w:hint="default" w:ascii="Times New Roman" w:hAnsi="Times New Roman" w:eastAsia="方正楷体_GB2312" w:cs="Times New Roman"/>
            </w:rPr>
            <w:t>2.4土地利用现状情况</w:t>
          </w:r>
          <w:r>
            <w:tab/>
          </w:r>
          <w:r>
            <w:fldChar w:fldCharType="begin"/>
          </w:r>
          <w:r>
            <w:instrText xml:space="preserve"> PAGEREF _Toc10715 \h </w:instrText>
          </w:r>
          <w:r>
            <w:fldChar w:fldCharType="separate"/>
          </w:r>
          <w:r>
            <w:t>22</w:t>
          </w:r>
          <w:r>
            <w:fldChar w:fldCharType="end"/>
          </w:r>
          <w:r>
            <w:fldChar w:fldCharType="end"/>
          </w:r>
        </w:p>
        <w:p w14:paraId="3B1E3992">
          <w:pPr>
            <w:pStyle w:val="13"/>
            <w:tabs>
              <w:tab w:val="right" w:leader="dot" w:pos="8306"/>
            </w:tabs>
          </w:pPr>
          <w:r>
            <w:fldChar w:fldCharType="begin"/>
          </w:r>
          <w:r>
            <w:instrText xml:space="preserve"> HYPERLINK \l _Toc6840 </w:instrText>
          </w:r>
          <w:r>
            <w:fldChar w:fldCharType="separate"/>
          </w:r>
          <w:r>
            <w:rPr>
              <w:rFonts w:hint="default" w:ascii="Times New Roman" w:hAnsi="Times New Roman" w:eastAsia="黑体" w:cs="Times New Roman"/>
              <w:szCs w:val="32"/>
            </w:rPr>
            <w:t>3.必要性及公益性分析</w:t>
          </w:r>
          <w:r>
            <w:tab/>
          </w:r>
          <w:r>
            <w:fldChar w:fldCharType="begin"/>
          </w:r>
          <w:r>
            <w:instrText xml:space="preserve"> PAGEREF _Toc6840 \h </w:instrText>
          </w:r>
          <w:r>
            <w:fldChar w:fldCharType="separate"/>
          </w:r>
          <w:r>
            <w:t>23</w:t>
          </w:r>
          <w:r>
            <w:fldChar w:fldCharType="end"/>
          </w:r>
          <w:r>
            <w:fldChar w:fldCharType="end"/>
          </w:r>
        </w:p>
        <w:p w14:paraId="00D24E12">
          <w:pPr>
            <w:pStyle w:val="15"/>
            <w:tabs>
              <w:tab w:val="right" w:leader="dot" w:pos="8306"/>
            </w:tabs>
          </w:pPr>
          <w:r>
            <w:fldChar w:fldCharType="begin"/>
          </w:r>
          <w:r>
            <w:instrText xml:space="preserve"> HYPERLINK \l _Toc21027 </w:instrText>
          </w:r>
          <w:r>
            <w:fldChar w:fldCharType="separate"/>
          </w:r>
          <w:r>
            <w:rPr>
              <w:rFonts w:hint="default" w:ascii="Times New Roman" w:hAnsi="Times New Roman" w:eastAsia="方正楷体_GB2312" w:cs="Times New Roman"/>
            </w:rPr>
            <w:t>3.1必要性</w:t>
          </w:r>
          <w:r>
            <w:tab/>
          </w:r>
          <w:r>
            <w:fldChar w:fldCharType="begin"/>
          </w:r>
          <w:r>
            <w:instrText xml:space="preserve"> PAGEREF _Toc21027 \h </w:instrText>
          </w:r>
          <w:r>
            <w:fldChar w:fldCharType="separate"/>
          </w:r>
          <w:r>
            <w:t>23</w:t>
          </w:r>
          <w:r>
            <w:fldChar w:fldCharType="end"/>
          </w:r>
          <w:r>
            <w:fldChar w:fldCharType="end"/>
          </w:r>
        </w:p>
        <w:p w14:paraId="00C222FF">
          <w:pPr>
            <w:pStyle w:val="8"/>
            <w:tabs>
              <w:tab w:val="right" w:leader="dot" w:pos="8306"/>
            </w:tabs>
          </w:pPr>
          <w:r>
            <w:fldChar w:fldCharType="begin"/>
          </w:r>
          <w:r>
            <w:instrText xml:space="preserve"> HYPERLINK \l _Toc18315 </w:instrText>
          </w:r>
          <w:r>
            <w:fldChar w:fldCharType="separate"/>
          </w:r>
          <w:r>
            <w:rPr>
              <w:rFonts w:hint="default" w:ascii="Times New Roman" w:hAnsi="Times New Roman" w:eastAsia="方正仿宋_GB18030" w:cs="Times New Roman"/>
              <w:szCs w:val="32"/>
              <w:lang w:val="en-US" w:eastAsia="zh-CN"/>
            </w:rPr>
            <w:t>3.1.1开发方案符合国家相关规划和政策</w:t>
          </w:r>
          <w:r>
            <w:tab/>
          </w:r>
          <w:r>
            <w:fldChar w:fldCharType="begin"/>
          </w:r>
          <w:r>
            <w:instrText xml:space="preserve"> PAGEREF _Toc18315 \h </w:instrText>
          </w:r>
          <w:r>
            <w:fldChar w:fldCharType="separate"/>
          </w:r>
          <w:r>
            <w:t>23</w:t>
          </w:r>
          <w:r>
            <w:fldChar w:fldCharType="end"/>
          </w:r>
          <w:r>
            <w:fldChar w:fldCharType="end"/>
          </w:r>
        </w:p>
        <w:p w14:paraId="609AEB8A">
          <w:pPr>
            <w:pStyle w:val="8"/>
            <w:tabs>
              <w:tab w:val="right" w:leader="dot" w:pos="8306"/>
            </w:tabs>
          </w:pPr>
          <w:r>
            <w:fldChar w:fldCharType="begin"/>
          </w:r>
          <w:r>
            <w:instrText xml:space="preserve"> HYPERLINK \l _Toc10058 </w:instrText>
          </w:r>
          <w:r>
            <w:fldChar w:fldCharType="separate"/>
          </w:r>
          <w:r>
            <w:rPr>
              <w:rFonts w:hint="default" w:ascii="Times New Roman" w:hAnsi="Times New Roman" w:eastAsia="方正仿宋_GB18030" w:cs="Times New Roman"/>
              <w:szCs w:val="32"/>
              <w:lang w:val="en-US" w:eastAsia="zh-CN"/>
            </w:rPr>
            <w:t>3.1.2开发方案能有效提高土地利用效率</w:t>
          </w:r>
          <w:r>
            <w:tab/>
          </w:r>
          <w:r>
            <w:fldChar w:fldCharType="begin"/>
          </w:r>
          <w:r>
            <w:instrText xml:space="preserve"> PAGEREF _Toc10058 \h </w:instrText>
          </w:r>
          <w:r>
            <w:fldChar w:fldCharType="separate"/>
          </w:r>
          <w:r>
            <w:t>23</w:t>
          </w:r>
          <w:r>
            <w:fldChar w:fldCharType="end"/>
          </w:r>
          <w:r>
            <w:fldChar w:fldCharType="end"/>
          </w:r>
        </w:p>
        <w:p w14:paraId="30CE0772">
          <w:pPr>
            <w:pStyle w:val="15"/>
            <w:tabs>
              <w:tab w:val="right" w:leader="dot" w:pos="8306"/>
            </w:tabs>
          </w:pPr>
          <w:r>
            <w:fldChar w:fldCharType="begin"/>
          </w:r>
          <w:r>
            <w:instrText xml:space="preserve"> HYPERLINK \l _Toc20311 </w:instrText>
          </w:r>
          <w:r>
            <w:fldChar w:fldCharType="separate"/>
          </w:r>
          <w:r>
            <w:rPr>
              <w:rFonts w:hint="default" w:ascii="Times New Roman" w:hAnsi="Times New Roman" w:eastAsia="方正楷体_GB2312" w:cs="Times New Roman"/>
            </w:rPr>
            <w:t>3.2公益性</w:t>
          </w:r>
          <w:r>
            <w:tab/>
          </w:r>
          <w:r>
            <w:fldChar w:fldCharType="begin"/>
          </w:r>
          <w:r>
            <w:instrText xml:space="preserve"> PAGEREF _Toc20311 \h </w:instrText>
          </w:r>
          <w:r>
            <w:fldChar w:fldCharType="separate"/>
          </w:r>
          <w:r>
            <w:t>24</w:t>
          </w:r>
          <w:r>
            <w:fldChar w:fldCharType="end"/>
          </w:r>
          <w:r>
            <w:fldChar w:fldCharType="end"/>
          </w:r>
        </w:p>
        <w:p w14:paraId="2534B681">
          <w:pPr>
            <w:pStyle w:val="8"/>
            <w:tabs>
              <w:tab w:val="right" w:leader="dot" w:pos="8306"/>
            </w:tabs>
          </w:pPr>
          <w:r>
            <w:fldChar w:fldCharType="begin"/>
          </w:r>
          <w:r>
            <w:instrText xml:space="preserve"> HYPERLINK \l _Toc11207 </w:instrText>
          </w:r>
          <w:r>
            <w:fldChar w:fldCharType="separate"/>
          </w:r>
          <w:r>
            <w:rPr>
              <w:rFonts w:hint="default" w:ascii="Times New Roman" w:hAnsi="Times New Roman" w:eastAsia="方正仿宋_GB18030" w:cs="Times New Roman"/>
              <w:szCs w:val="32"/>
              <w:lang w:val="en-US" w:eastAsia="zh-CN"/>
            </w:rPr>
            <w:t>3.2.1改善区域民生条件</w:t>
          </w:r>
          <w:r>
            <w:tab/>
          </w:r>
          <w:r>
            <w:fldChar w:fldCharType="begin"/>
          </w:r>
          <w:r>
            <w:instrText xml:space="preserve"> PAGEREF _Toc11207 \h </w:instrText>
          </w:r>
          <w:r>
            <w:fldChar w:fldCharType="separate"/>
          </w:r>
          <w:r>
            <w:t>24</w:t>
          </w:r>
          <w:r>
            <w:fldChar w:fldCharType="end"/>
          </w:r>
          <w:r>
            <w:fldChar w:fldCharType="end"/>
          </w:r>
        </w:p>
        <w:p w14:paraId="77BA5CE6">
          <w:pPr>
            <w:pStyle w:val="8"/>
            <w:tabs>
              <w:tab w:val="right" w:leader="dot" w:pos="8306"/>
            </w:tabs>
          </w:pPr>
          <w:r>
            <w:fldChar w:fldCharType="begin"/>
          </w:r>
          <w:r>
            <w:instrText xml:space="preserve"> HYPERLINK \l _Toc22878 </w:instrText>
          </w:r>
          <w:r>
            <w:fldChar w:fldCharType="separate"/>
          </w:r>
          <w:r>
            <w:rPr>
              <w:rFonts w:hint="default" w:ascii="Times New Roman" w:hAnsi="Times New Roman" w:eastAsia="方正仿宋_GB18030" w:cs="Times New Roman"/>
              <w:szCs w:val="32"/>
              <w:lang w:val="en-US" w:eastAsia="zh-CN"/>
            </w:rPr>
            <w:t>3.2.2提升区域公益服务水平</w:t>
          </w:r>
          <w:r>
            <w:tab/>
          </w:r>
          <w:r>
            <w:fldChar w:fldCharType="begin"/>
          </w:r>
          <w:r>
            <w:instrText xml:space="preserve"> PAGEREF _Toc22878 \h </w:instrText>
          </w:r>
          <w:r>
            <w:fldChar w:fldCharType="separate"/>
          </w:r>
          <w:r>
            <w:t>24</w:t>
          </w:r>
          <w:r>
            <w:fldChar w:fldCharType="end"/>
          </w:r>
          <w:r>
            <w:fldChar w:fldCharType="end"/>
          </w:r>
        </w:p>
        <w:p w14:paraId="136E5E33">
          <w:pPr>
            <w:pStyle w:val="8"/>
            <w:tabs>
              <w:tab w:val="right" w:leader="dot" w:pos="8306"/>
            </w:tabs>
          </w:pPr>
          <w:r>
            <w:fldChar w:fldCharType="begin"/>
          </w:r>
          <w:r>
            <w:instrText xml:space="preserve"> HYPERLINK \l _Toc1491 </w:instrText>
          </w:r>
          <w:r>
            <w:fldChar w:fldCharType="separate"/>
          </w:r>
          <w:r>
            <w:rPr>
              <w:rFonts w:hint="default" w:ascii="Times New Roman" w:hAnsi="Times New Roman" w:eastAsia="方正仿宋_GB18030" w:cs="Times New Roman"/>
              <w:szCs w:val="32"/>
              <w:lang w:val="en-US" w:eastAsia="zh-CN"/>
            </w:rPr>
            <w:t>3.2.3</w:t>
          </w:r>
          <w:r>
            <w:rPr>
              <w:rFonts w:hint="eastAsia" w:ascii="Times New Roman" w:eastAsia="方正仿宋_GB18030" w:cs="Times New Roman"/>
              <w:szCs w:val="32"/>
              <w:lang w:val="en-US" w:eastAsia="zh-CN"/>
            </w:rPr>
            <w:t>完善全民健身环境</w:t>
          </w:r>
          <w:r>
            <w:tab/>
          </w:r>
          <w:r>
            <w:fldChar w:fldCharType="begin"/>
          </w:r>
          <w:r>
            <w:instrText xml:space="preserve"> PAGEREF _Toc1491 \h </w:instrText>
          </w:r>
          <w:r>
            <w:fldChar w:fldCharType="separate"/>
          </w:r>
          <w:r>
            <w:t>24</w:t>
          </w:r>
          <w:r>
            <w:fldChar w:fldCharType="end"/>
          </w:r>
          <w:r>
            <w:fldChar w:fldCharType="end"/>
          </w:r>
        </w:p>
        <w:p w14:paraId="24C55A76">
          <w:pPr>
            <w:pStyle w:val="13"/>
            <w:tabs>
              <w:tab w:val="right" w:leader="dot" w:pos="8306"/>
            </w:tabs>
          </w:pPr>
          <w:r>
            <w:fldChar w:fldCharType="begin"/>
          </w:r>
          <w:r>
            <w:instrText xml:space="preserve"> HYPERLINK \l _Toc9969 </w:instrText>
          </w:r>
          <w:r>
            <w:fldChar w:fldCharType="separate"/>
          </w:r>
          <w:r>
            <w:rPr>
              <w:rFonts w:hint="default" w:ascii="Times New Roman" w:hAnsi="Times New Roman" w:eastAsia="黑体" w:cs="Times New Roman"/>
              <w:szCs w:val="32"/>
            </w:rPr>
            <w:t>4.选址分析</w:t>
          </w:r>
          <w:r>
            <w:tab/>
          </w:r>
          <w:r>
            <w:fldChar w:fldCharType="begin"/>
          </w:r>
          <w:r>
            <w:instrText xml:space="preserve"> PAGEREF _Toc9969 \h </w:instrText>
          </w:r>
          <w:r>
            <w:fldChar w:fldCharType="separate"/>
          </w:r>
          <w:r>
            <w:t>26</w:t>
          </w:r>
          <w:r>
            <w:fldChar w:fldCharType="end"/>
          </w:r>
          <w:r>
            <w:fldChar w:fldCharType="end"/>
          </w:r>
        </w:p>
        <w:p w14:paraId="22D6C340">
          <w:pPr>
            <w:pStyle w:val="15"/>
            <w:tabs>
              <w:tab w:val="right" w:leader="dot" w:pos="8306"/>
            </w:tabs>
          </w:pPr>
          <w:r>
            <w:fldChar w:fldCharType="begin"/>
          </w:r>
          <w:r>
            <w:instrText xml:space="preserve"> HYPERLINK \l _Toc15761 </w:instrText>
          </w:r>
          <w:r>
            <w:fldChar w:fldCharType="separate"/>
          </w:r>
          <w:r>
            <w:rPr>
              <w:rFonts w:hint="default" w:ascii="Times New Roman" w:hAnsi="Times New Roman" w:eastAsia="方正楷体_GB2312" w:cs="Times New Roman"/>
            </w:rPr>
            <w:t>4.1项目区概况</w:t>
          </w:r>
          <w:r>
            <w:tab/>
          </w:r>
          <w:r>
            <w:fldChar w:fldCharType="begin"/>
          </w:r>
          <w:r>
            <w:instrText xml:space="preserve"> PAGEREF _Toc15761 \h </w:instrText>
          </w:r>
          <w:r>
            <w:fldChar w:fldCharType="separate"/>
          </w:r>
          <w:r>
            <w:t>26</w:t>
          </w:r>
          <w:r>
            <w:fldChar w:fldCharType="end"/>
          </w:r>
          <w:r>
            <w:fldChar w:fldCharType="end"/>
          </w:r>
        </w:p>
        <w:p w14:paraId="5F6980DD">
          <w:pPr>
            <w:pStyle w:val="8"/>
            <w:tabs>
              <w:tab w:val="right" w:leader="dot" w:pos="8306"/>
            </w:tabs>
          </w:pPr>
          <w:r>
            <w:fldChar w:fldCharType="begin"/>
          </w:r>
          <w:r>
            <w:instrText xml:space="preserve"> HYPERLINK \l _Toc882 </w:instrText>
          </w:r>
          <w:r>
            <w:fldChar w:fldCharType="separate"/>
          </w:r>
          <w:r>
            <w:rPr>
              <w:rFonts w:hint="default" w:ascii="Times New Roman" w:hAnsi="Times New Roman" w:eastAsia="方正仿宋_GB18030" w:cs="Times New Roman"/>
              <w:szCs w:val="32"/>
              <w:lang w:val="en-US" w:eastAsia="zh-CN"/>
            </w:rPr>
            <w:t>4.1.1</w:t>
          </w:r>
          <w:r>
            <w:rPr>
              <w:rFonts w:hint="eastAsia" w:ascii="Times New Roman" w:eastAsia="方正仿宋_GB18030" w:cs="Times New Roman"/>
              <w:szCs w:val="32"/>
              <w:lang w:val="en-US" w:eastAsia="zh-CN"/>
            </w:rPr>
            <w:t>鸡东</w:t>
          </w:r>
          <w:r>
            <w:rPr>
              <w:rFonts w:hint="default" w:ascii="Times New Roman" w:hAnsi="Times New Roman" w:eastAsia="方正仿宋_GB18030" w:cs="Times New Roman"/>
              <w:szCs w:val="32"/>
              <w:lang w:val="en-US" w:eastAsia="zh-CN"/>
            </w:rPr>
            <w:t>镇</w:t>
          </w:r>
          <w:r>
            <w:tab/>
          </w:r>
          <w:r>
            <w:fldChar w:fldCharType="begin"/>
          </w:r>
          <w:r>
            <w:instrText xml:space="preserve"> PAGEREF _Toc882 \h </w:instrText>
          </w:r>
          <w:r>
            <w:fldChar w:fldCharType="separate"/>
          </w:r>
          <w:r>
            <w:t>26</w:t>
          </w:r>
          <w:r>
            <w:fldChar w:fldCharType="end"/>
          </w:r>
          <w:r>
            <w:fldChar w:fldCharType="end"/>
          </w:r>
        </w:p>
        <w:p w14:paraId="0F3185F6">
          <w:pPr>
            <w:pStyle w:val="8"/>
            <w:tabs>
              <w:tab w:val="right" w:leader="dot" w:pos="8306"/>
            </w:tabs>
          </w:pPr>
          <w:r>
            <w:fldChar w:fldCharType="begin"/>
          </w:r>
          <w:r>
            <w:instrText xml:space="preserve"> HYPERLINK \l _Toc28027 </w:instrText>
          </w:r>
          <w:r>
            <w:fldChar w:fldCharType="separate"/>
          </w:r>
          <w:r>
            <w:rPr>
              <w:rFonts w:hint="default" w:ascii="Times New Roman" w:hAnsi="Times New Roman" w:eastAsia="方正仿宋_GB18030" w:cs="Times New Roman"/>
              <w:szCs w:val="32"/>
              <w:lang w:val="en-US" w:eastAsia="zh-CN"/>
            </w:rPr>
            <w:t>4.1.2永安镇</w:t>
          </w:r>
          <w:r>
            <w:tab/>
          </w:r>
          <w:r>
            <w:fldChar w:fldCharType="begin"/>
          </w:r>
          <w:r>
            <w:instrText xml:space="preserve"> PAGEREF _Toc28027 \h </w:instrText>
          </w:r>
          <w:r>
            <w:fldChar w:fldCharType="separate"/>
          </w:r>
          <w:r>
            <w:t>27</w:t>
          </w:r>
          <w:r>
            <w:fldChar w:fldCharType="end"/>
          </w:r>
          <w:r>
            <w:fldChar w:fldCharType="end"/>
          </w:r>
        </w:p>
        <w:p w14:paraId="442C64DB">
          <w:pPr>
            <w:pStyle w:val="15"/>
            <w:tabs>
              <w:tab w:val="right" w:leader="dot" w:pos="8306"/>
            </w:tabs>
          </w:pPr>
          <w:r>
            <w:fldChar w:fldCharType="begin"/>
          </w:r>
          <w:r>
            <w:instrText xml:space="preserve"> HYPERLINK \l _Toc12687 </w:instrText>
          </w:r>
          <w:r>
            <w:fldChar w:fldCharType="separate"/>
          </w:r>
          <w:r>
            <w:rPr>
              <w:rFonts w:hint="default" w:ascii="Times New Roman" w:hAnsi="Times New Roman" w:eastAsia="方正楷体_GB2312" w:cs="Times New Roman"/>
            </w:rPr>
            <w:t>4.2地形地貌及地质条件</w:t>
          </w:r>
          <w:r>
            <w:tab/>
          </w:r>
          <w:r>
            <w:fldChar w:fldCharType="begin"/>
          </w:r>
          <w:r>
            <w:instrText xml:space="preserve"> PAGEREF _Toc12687 \h </w:instrText>
          </w:r>
          <w:r>
            <w:fldChar w:fldCharType="separate"/>
          </w:r>
          <w:r>
            <w:t>30</w:t>
          </w:r>
          <w:r>
            <w:fldChar w:fldCharType="end"/>
          </w:r>
          <w:r>
            <w:fldChar w:fldCharType="end"/>
          </w:r>
        </w:p>
        <w:p w14:paraId="3AAF2183">
          <w:pPr>
            <w:pStyle w:val="8"/>
            <w:tabs>
              <w:tab w:val="right" w:leader="dot" w:pos="8306"/>
            </w:tabs>
          </w:pPr>
          <w:r>
            <w:fldChar w:fldCharType="begin"/>
          </w:r>
          <w:r>
            <w:instrText xml:space="preserve"> HYPERLINK \l _Toc32572 </w:instrText>
          </w:r>
          <w:r>
            <w:fldChar w:fldCharType="separate"/>
          </w:r>
          <w:r>
            <w:rPr>
              <w:rFonts w:hint="default" w:ascii="Times New Roman" w:hAnsi="Times New Roman" w:eastAsia="方正仿宋_GB18030" w:cs="Times New Roman"/>
              <w:szCs w:val="32"/>
              <w:lang w:val="en-US" w:eastAsia="zh-CN"/>
            </w:rPr>
            <w:t>4.2.1地形地貌</w:t>
          </w:r>
          <w:r>
            <w:tab/>
          </w:r>
          <w:r>
            <w:fldChar w:fldCharType="begin"/>
          </w:r>
          <w:r>
            <w:instrText xml:space="preserve"> PAGEREF _Toc32572 \h </w:instrText>
          </w:r>
          <w:r>
            <w:fldChar w:fldCharType="separate"/>
          </w:r>
          <w:r>
            <w:t>30</w:t>
          </w:r>
          <w:r>
            <w:fldChar w:fldCharType="end"/>
          </w:r>
          <w:r>
            <w:fldChar w:fldCharType="end"/>
          </w:r>
        </w:p>
        <w:p w14:paraId="4B522DFB">
          <w:pPr>
            <w:pStyle w:val="8"/>
            <w:tabs>
              <w:tab w:val="right" w:leader="dot" w:pos="8306"/>
            </w:tabs>
          </w:pPr>
          <w:r>
            <w:fldChar w:fldCharType="begin"/>
          </w:r>
          <w:r>
            <w:instrText xml:space="preserve"> HYPERLINK \l _Toc10029 </w:instrText>
          </w:r>
          <w:r>
            <w:fldChar w:fldCharType="separate"/>
          </w:r>
          <w:r>
            <w:rPr>
              <w:rFonts w:hint="default" w:ascii="Times New Roman" w:hAnsi="Times New Roman" w:eastAsia="方正仿宋_GB18030" w:cs="Times New Roman"/>
              <w:szCs w:val="32"/>
              <w:lang w:val="en-US" w:eastAsia="zh-CN"/>
            </w:rPr>
            <w:t>4.2.2地质条件</w:t>
          </w:r>
          <w:r>
            <w:tab/>
          </w:r>
          <w:r>
            <w:fldChar w:fldCharType="begin"/>
          </w:r>
          <w:r>
            <w:instrText xml:space="preserve"> PAGEREF _Toc10029 \h </w:instrText>
          </w:r>
          <w:r>
            <w:fldChar w:fldCharType="separate"/>
          </w:r>
          <w:r>
            <w:t>30</w:t>
          </w:r>
          <w:r>
            <w:fldChar w:fldCharType="end"/>
          </w:r>
          <w:r>
            <w:fldChar w:fldCharType="end"/>
          </w:r>
        </w:p>
        <w:p w14:paraId="5724EB43">
          <w:pPr>
            <w:pStyle w:val="15"/>
            <w:tabs>
              <w:tab w:val="right" w:leader="dot" w:pos="8306"/>
            </w:tabs>
          </w:pPr>
          <w:r>
            <w:fldChar w:fldCharType="begin"/>
          </w:r>
          <w:r>
            <w:instrText xml:space="preserve"> HYPERLINK \l _Toc8289 </w:instrText>
          </w:r>
          <w:r>
            <w:fldChar w:fldCharType="separate"/>
          </w:r>
          <w:r>
            <w:rPr>
              <w:rFonts w:hint="default" w:ascii="Times New Roman" w:hAnsi="Times New Roman" w:eastAsia="方正楷体_GB2312" w:cs="Times New Roman"/>
            </w:rPr>
            <w:t>4.3基础设施条件</w:t>
          </w:r>
          <w:r>
            <w:tab/>
          </w:r>
          <w:r>
            <w:fldChar w:fldCharType="begin"/>
          </w:r>
          <w:r>
            <w:instrText xml:space="preserve"> PAGEREF _Toc8289 \h </w:instrText>
          </w:r>
          <w:r>
            <w:fldChar w:fldCharType="separate"/>
          </w:r>
          <w:r>
            <w:t>30</w:t>
          </w:r>
          <w:r>
            <w:fldChar w:fldCharType="end"/>
          </w:r>
          <w:r>
            <w:fldChar w:fldCharType="end"/>
          </w:r>
        </w:p>
        <w:p w14:paraId="12AB687B">
          <w:pPr>
            <w:pStyle w:val="8"/>
            <w:tabs>
              <w:tab w:val="right" w:leader="dot" w:pos="8306"/>
            </w:tabs>
          </w:pPr>
          <w:r>
            <w:fldChar w:fldCharType="begin"/>
          </w:r>
          <w:r>
            <w:instrText xml:space="preserve"> HYPERLINK \l _Toc13791 </w:instrText>
          </w:r>
          <w:r>
            <w:fldChar w:fldCharType="separate"/>
          </w:r>
          <w:r>
            <w:rPr>
              <w:rFonts w:hint="default" w:ascii="Times New Roman" w:hAnsi="Times New Roman" w:eastAsia="方正仿宋_GB18030" w:cs="Times New Roman"/>
              <w:szCs w:val="32"/>
              <w:lang w:val="en-US" w:eastAsia="zh-CN"/>
            </w:rPr>
            <w:t>4.3.1交通条件</w:t>
          </w:r>
          <w:r>
            <w:tab/>
          </w:r>
          <w:r>
            <w:fldChar w:fldCharType="begin"/>
          </w:r>
          <w:r>
            <w:instrText xml:space="preserve"> PAGEREF _Toc13791 \h </w:instrText>
          </w:r>
          <w:r>
            <w:fldChar w:fldCharType="separate"/>
          </w:r>
          <w:r>
            <w:t>30</w:t>
          </w:r>
          <w:r>
            <w:fldChar w:fldCharType="end"/>
          </w:r>
          <w:r>
            <w:fldChar w:fldCharType="end"/>
          </w:r>
        </w:p>
        <w:p w14:paraId="7FC64EDA">
          <w:pPr>
            <w:pStyle w:val="8"/>
            <w:tabs>
              <w:tab w:val="right" w:leader="dot" w:pos="8306"/>
            </w:tabs>
          </w:pPr>
          <w:r>
            <w:fldChar w:fldCharType="begin"/>
          </w:r>
          <w:r>
            <w:instrText xml:space="preserve"> HYPERLINK \l _Toc13702 </w:instrText>
          </w:r>
          <w:r>
            <w:fldChar w:fldCharType="separate"/>
          </w:r>
          <w:r>
            <w:rPr>
              <w:rFonts w:hint="default" w:ascii="Times New Roman" w:hAnsi="Times New Roman" w:eastAsia="方正仿宋_GB18030" w:cs="Times New Roman"/>
              <w:szCs w:val="32"/>
              <w:lang w:val="en-US" w:eastAsia="zh-CN"/>
            </w:rPr>
            <w:t>4.3.2综合配套设施</w:t>
          </w:r>
          <w:r>
            <w:tab/>
          </w:r>
          <w:r>
            <w:fldChar w:fldCharType="begin"/>
          </w:r>
          <w:r>
            <w:instrText xml:space="preserve"> PAGEREF _Toc13702 \h </w:instrText>
          </w:r>
          <w:r>
            <w:fldChar w:fldCharType="separate"/>
          </w:r>
          <w:r>
            <w:t>31</w:t>
          </w:r>
          <w:r>
            <w:fldChar w:fldCharType="end"/>
          </w:r>
          <w:r>
            <w:fldChar w:fldCharType="end"/>
          </w:r>
        </w:p>
        <w:p w14:paraId="18C3E15C">
          <w:pPr>
            <w:pStyle w:val="15"/>
            <w:tabs>
              <w:tab w:val="right" w:leader="dot" w:pos="8306"/>
            </w:tabs>
          </w:pPr>
          <w:r>
            <w:fldChar w:fldCharType="begin"/>
          </w:r>
          <w:r>
            <w:instrText xml:space="preserve"> HYPERLINK \l _Toc27613 </w:instrText>
          </w:r>
          <w:r>
            <w:fldChar w:fldCharType="separate"/>
          </w:r>
          <w:r>
            <w:rPr>
              <w:rFonts w:hint="default" w:ascii="Times New Roman" w:hAnsi="Times New Roman" w:eastAsia="方正楷体_GB2312" w:cs="Times New Roman"/>
            </w:rPr>
            <w:t>4.4生态环境影响</w:t>
          </w:r>
          <w:r>
            <w:tab/>
          </w:r>
          <w:r>
            <w:fldChar w:fldCharType="begin"/>
          </w:r>
          <w:r>
            <w:instrText xml:space="preserve"> PAGEREF _Toc27613 \h </w:instrText>
          </w:r>
          <w:r>
            <w:fldChar w:fldCharType="separate"/>
          </w:r>
          <w:r>
            <w:t>31</w:t>
          </w:r>
          <w:r>
            <w:fldChar w:fldCharType="end"/>
          </w:r>
          <w:r>
            <w:fldChar w:fldCharType="end"/>
          </w:r>
        </w:p>
        <w:p w14:paraId="0F3A4411">
          <w:pPr>
            <w:pStyle w:val="15"/>
            <w:tabs>
              <w:tab w:val="right" w:leader="dot" w:pos="8306"/>
            </w:tabs>
          </w:pPr>
          <w:r>
            <w:fldChar w:fldCharType="begin"/>
          </w:r>
          <w:r>
            <w:instrText xml:space="preserve"> HYPERLINK \l _Toc2022 </w:instrText>
          </w:r>
          <w:r>
            <w:fldChar w:fldCharType="separate"/>
          </w:r>
          <w:r>
            <w:rPr>
              <w:rFonts w:hint="default" w:ascii="Times New Roman" w:hAnsi="Times New Roman" w:eastAsia="方正楷体_GB2312" w:cs="Times New Roman"/>
            </w:rPr>
            <w:t>4.5占用耕地不可避让性分析</w:t>
          </w:r>
          <w:r>
            <w:tab/>
          </w:r>
          <w:r>
            <w:fldChar w:fldCharType="begin"/>
          </w:r>
          <w:r>
            <w:instrText xml:space="preserve"> PAGEREF _Toc2022 \h </w:instrText>
          </w:r>
          <w:r>
            <w:fldChar w:fldCharType="separate"/>
          </w:r>
          <w:r>
            <w:t>31</w:t>
          </w:r>
          <w:r>
            <w:fldChar w:fldCharType="end"/>
          </w:r>
          <w:r>
            <w:fldChar w:fldCharType="end"/>
          </w:r>
        </w:p>
        <w:p w14:paraId="4E9008B1">
          <w:pPr>
            <w:pStyle w:val="13"/>
            <w:tabs>
              <w:tab w:val="right" w:leader="dot" w:pos="8306"/>
            </w:tabs>
          </w:pPr>
          <w:r>
            <w:fldChar w:fldCharType="begin"/>
          </w:r>
          <w:r>
            <w:instrText xml:space="preserve"> HYPERLINK \l _Toc6607 </w:instrText>
          </w:r>
          <w:r>
            <w:fldChar w:fldCharType="separate"/>
          </w:r>
          <w:r>
            <w:rPr>
              <w:rFonts w:hint="default" w:ascii="Times New Roman" w:hAnsi="Times New Roman" w:eastAsia="黑体" w:cs="Times New Roman"/>
              <w:szCs w:val="32"/>
            </w:rPr>
            <w:t>5.合规性分析</w:t>
          </w:r>
          <w:r>
            <w:tab/>
          </w:r>
          <w:r>
            <w:fldChar w:fldCharType="begin"/>
          </w:r>
          <w:r>
            <w:instrText xml:space="preserve"> PAGEREF _Toc6607 \h </w:instrText>
          </w:r>
          <w:r>
            <w:fldChar w:fldCharType="separate"/>
          </w:r>
          <w:r>
            <w:t>33</w:t>
          </w:r>
          <w:r>
            <w:fldChar w:fldCharType="end"/>
          </w:r>
          <w:r>
            <w:fldChar w:fldCharType="end"/>
          </w:r>
        </w:p>
        <w:p w14:paraId="5D7138FD">
          <w:pPr>
            <w:pStyle w:val="15"/>
            <w:tabs>
              <w:tab w:val="right" w:leader="dot" w:pos="8306"/>
            </w:tabs>
          </w:pPr>
          <w:r>
            <w:fldChar w:fldCharType="begin"/>
          </w:r>
          <w:r>
            <w:instrText xml:space="preserve"> HYPERLINK \l _Toc2171 </w:instrText>
          </w:r>
          <w:r>
            <w:fldChar w:fldCharType="separate"/>
          </w:r>
          <w:r>
            <w:rPr>
              <w:rFonts w:hint="default" w:ascii="Times New Roman" w:hAnsi="Times New Roman" w:eastAsia="方正楷体_GB2312" w:cs="Times New Roman"/>
            </w:rPr>
            <w:t>5.1国民经济和社会发展规划的符合性分析</w:t>
          </w:r>
          <w:r>
            <w:tab/>
          </w:r>
          <w:r>
            <w:fldChar w:fldCharType="begin"/>
          </w:r>
          <w:r>
            <w:instrText xml:space="preserve"> PAGEREF _Toc2171 \h </w:instrText>
          </w:r>
          <w:r>
            <w:fldChar w:fldCharType="separate"/>
          </w:r>
          <w:r>
            <w:t>33</w:t>
          </w:r>
          <w:r>
            <w:fldChar w:fldCharType="end"/>
          </w:r>
          <w:r>
            <w:fldChar w:fldCharType="end"/>
          </w:r>
        </w:p>
        <w:p w14:paraId="6C2D32ED">
          <w:pPr>
            <w:pStyle w:val="15"/>
            <w:tabs>
              <w:tab w:val="right" w:leader="dot" w:pos="8306"/>
            </w:tabs>
          </w:pPr>
          <w:r>
            <w:fldChar w:fldCharType="begin"/>
          </w:r>
          <w:r>
            <w:instrText xml:space="preserve"> HYPERLINK \l _Toc3057 </w:instrText>
          </w:r>
          <w:r>
            <w:fldChar w:fldCharType="separate"/>
          </w:r>
          <w:r>
            <w:rPr>
              <w:rFonts w:hint="default" w:ascii="Times New Roman" w:hAnsi="Times New Roman" w:eastAsia="方正楷体_GB2312" w:cs="Times New Roman"/>
            </w:rPr>
            <w:t>5.2</w:t>
          </w:r>
          <w:r>
            <w:rPr>
              <w:rFonts w:hint="default" w:ascii="Times New Roman" w:hAnsi="Times New Roman" w:eastAsia="方正楷体_GB2312" w:cs="Times New Roman"/>
              <w:lang w:val="zh-CN"/>
            </w:rPr>
            <w:t>国土空间总体规划的符合性分析</w:t>
          </w:r>
          <w:r>
            <w:tab/>
          </w:r>
          <w:r>
            <w:fldChar w:fldCharType="begin"/>
          </w:r>
          <w:r>
            <w:instrText xml:space="preserve"> PAGEREF _Toc3057 \h </w:instrText>
          </w:r>
          <w:r>
            <w:fldChar w:fldCharType="separate"/>
          </w:r>
          <w:r>
            <w:t>33</w:t>
          </w:r>
          <w:r>
            <w:fldChar w:fldCharType="end"/>
          </w:r>
          <w:r>
            <w:fldChar w:fldCharType="end"/>
          </w:r>
        </w:p>
        <w:p w14:paraId="0C9C70C4">
          <w:pPr>
            <w:pStyle w:val="15"/>
            <w:tabs>
              <w:tab w:val="right" w:leader="dot" w:pos="8306"/>
            </w:tabs>
          </w:pPr>
          <w:r>
            <w:fldChar w:fldCharType="begin"/>
          </w:r>
          <w:r>
            <w:instrText xml:space="preserve"> HYPERLINK \l _Toc7440 </w:instrText>
          </w:r>
          <w:r>
            <w:fldChar w:fldCharType="separate"/>
          </w:r>
          <w:r>
            <w:rPr>
              <w:rFonts w:hint="default" w:ascii="Times New Roman" w:hAnsi="Times New Roman" w:eastAsia="方正楷体_GB2312" w:cs="Times New Roman"/>
            </w:rPr>
            <w:t>5.</w:t>
          </w:r>
          <w:r>
            <w:rPr>
              <w:rFonts w:hint="eastAsia" w:ascii="Times New Roman" w:hAnsi="Times New Roman" w:eastAsia="方正楷体_GB2312" w:cs="Times New Roman"/>
              <w:lang w:val="en-US" w:eastAsia="zh-CN"/>
            </w:rPr>
            <w:t>3</w:t>
          </w:r>
          <w:r>
            <w:rPr>
              <w:rFonts w:hint="default" w:ascii="Times New Roman" w:hAnsi="Times New Roman" w:eastAsia="方正楷体_GB2312" w:cs="Times New Roman"/>
            </w:rPr>
            <w:t>批而未供土地和闲置土地情况</w:t>
          </w:r>
          <w:r>
            <w:tab/>
          </w:r>
          <w:r>
            <w:fldChar w:fldCharType="begin"/>
          </w:r>
          <w:r>
            <w:instrText xml:space="preserve"> PAGEREF _Toc7440 \h </w:instrText>
          </w:r>
          <w:r>
            <w:fldChar w:fldCharType="separate"/>
          </w:r>
          <w:r>
            <w:t>34</w:t>
          </w:r>
          <w:r>
            <w:fldChar w:fldCharType="end"/>
          </w:r>
          <w:r>
            <w:fldChar w:fldCharType="end"/>
          </w:r>
        </w:p>
        <w:p w14:paraId="48270C58">
          <w:pPr>
            <w:pStyle w:val="8"/>
            <w:tabs>
              <w:tab w:val="right" w:leader="dot" w:pos="8306"/>
            </w:tabs>
          </w:pPr>
          <w:r>
            <w:fldChar w:fldCharType="begin"/>
          </w:r>
          <w:r>
            <w:instrText xml:space="preserve"> HYPERLINK \l _Toc14682 </w:instrText>
          </w:r>
          <w:r>
            <w:fldChar w:fldCharType="separate"/>
          </w:r>
          <w:r>
            <w:rPr>
              <w:rFonts w:hint="default" w:ascii="Times New Roman" w:hAnsi="Times New Roman" w:eastAsia="方正仿宋_GB18030" w:cs="Times New Roman"/>
              <w:szCs w:val="32"/>
              <w:lang w:val="en-US" w:eastAsia="zh-CN"/>
            </w:rPr>
            <w:t>5.</w:t>
          </w:r>
          <w:r>
            <w:rPr>
              <w:rFonts w:hint="eastAsia" w:ascii="Times New Roman" w:eastAsia="方正仿宋_GB18030" w:cs="Times New Roman"/>
              <w:szCs w:val="32"/>
              <w:lang w:val="en-US" w:eastAsia="zh-CN"/>
            </w:rPr>
            <w:t>3</w:t>
          </w:r>
          <w:r>
            <w:rPr>
              <w:rFonts w:hint="default" w:ascii="Times New Roman" w:hAnsi="Times New Roman" w:eastAsia="方正仿宋_GB18030" w:cs="Times New Roman"/>
              <w:szCs w:val="32"/>
              <w:lang w:val="en-US" w:eastAsia="zh-CN"/>
            </w:rPr>
            <w:t>.1批而未供情况</w:t>
          </w:r>
          <w:r>
            <w:tab/>
          </w:r>
          <w:r>
            <w:fldChar w:fldCharType="begin"/>
          </w:r>
          <w:r>
            <w:instrText xml:space="preserve"> PAGEREF _Toc14682 \h </w:instrText>
          </w:r>
          <w:r>
            <w:fldChar w:fldCharType="separate"/>
          </w:r>
          <w:r>
            <w:t>34</w:t>
          </w:r>
          <w:r>
            <w:fldChar w:fldCharType="end"/>
          </w:r>
          <w:r>
            <w:fldChar w:fldCharType="end"/>
          </w:r>
        </w:p>
        <w:p w14:paraId="261D636D">
          <w:pPr>
            <w:pStyle w:val="8"/>
            <w:tabs>
              <w:tab w:val="right" w:leader="dot" w:pos="8306"/>
            </w:tabs>
          </w:pPr>
          <w:r>
            <w:fldChar w:fldCharType="begin"/>
          </w:r>
          <w:r>
            <w:instrText xml:space="preserve"> HYPERLINK \l _Toc20213 </w:instrText>
          </w:r>
          <w:r>
            <w:fldChar w:fldCharType="separate"/>
          </w:r>
          <w:r>
            <w:rPr>
              <w:rFonts w:hint="default" w:ascii="Times New Roman" w:hAnsi="Times New Roman" w:eastAsia="方正仿宋_GB18030" w:cs="Times New Roman"/>
              <w:szCs w:val="32"/>
              <w:lang w:val="en-US" w:eastAsia="zh-CN"/>
            </w:rPr>
            <w:t>5.</w:t>
          </w:r>
          <w:r>
            <w:rPr>
              <w:rFonts w:hint="eastAsia" w:ascii="Times New Roman" w:eastAsia="方正仿宋_GB18030" w:cs="Times New Roman"/>
              <w:szCs w:val="32"/>
              <w:lang w:val="en-US" w:eastAsia="zh-CN"/>
            </w:rPr>
            <w:t>3</w:t>
          </w:r>
          <w:r>
            <w:rPr>
              <w:rFonts w:hint="default" w:ascii="Times New Roman" w:hAnsi="Times New Roman" w:eastAsia="方正仿宋_GB18030" w:cs="Times New Roman"/>
              <w:szCs w:val="32"/>
              <w:lang w:val="en-US" w:eastAsia="zh-CN"/>
            </w:rPr>
            <w:t>.2闲置土地情况</w:t>
          </w:r>
          <w:r>
            <w:tab/>
          </w:r>
          <w:r>
            <w:fldChar w:fldCharType="begin"/>
          </w:r>
          <w:r>
            <w:instrText xml:space="preserve"> PAGEREF _Toc20213 \h </w:instrText>
          </w:r>
          <w:r>
            <w:fldChar w:fldCharType="separate"/>
          </w:r>
          <w:r>
            <w:t>34</w:t>
          </w:r>
          <w:r>
            <w:fldChar w:fldCharType="end"/>
          </w:r>
          <w:r>
            <w:fldChar w:fldCharType="end"/>
          </w:r>
        </w:p>
        <w:p w14:paraId="104A83E6">
          <w:pPr>
            <w:pStyle w:val="15"/>
            <w:tabs>
              <w:tab w:val="right" w:leader="dot" w:pos="8306"/>
            </w:tabs>
          </w:pPr>
          <w:r>
            <w:fldChar w:fldCharType="begin"/>
          </w:r>
          <w:r>
            <w:instrText xml:space="preserve"> HYPERLINK \l _Toc617 </w:instrText>
          </w:r>
          <w:r>
            <w:fldChar w:fldCharType="separate"/>
          </w:r>
          <w:r>
            <w:rPr>
              <w:rFonts w:hint="default" w:ascii="Times New Roman" w:hAnsi="Times New Roman" w:eastAsia="方正楷体_GB2312" w:cs="Times New Roman"/>
            </w:rPr>
            <w:t>5.</w:t>
          </w:r>
          <w:r>
            <w:rPr>
              <w:rFonts w:hint="eastAsia" w:ascii="Times New Roman" w:hAnsi="Times New Roman" w:eastAsia="方正楷体_GB2312" w:cs="Times New Roman"/>
              <w:lang w:val="en-US" w:eastAsia="zh-CN"/>
            </w:rPr>
            <w:t>4</w:t>
          </w:r>
          <w:r>
            <w:rPr>
              <w:rFonts w:hint="default" w:ascii="Times New Roman" w:hAnsi="Times New Roman" w:eastAsia="方正楷体_GB2312" w:cs="Times New Roman"/>
            </w:rPr>
            <w:t>开发区、城市新区土地利用</w:t>
          </w:r>
          <w:r>
            <w:tab/>
          </w:r>
          <w:r>
            <w:fldChar w:fldCharType="begin"/>
          </w:r>
          <w:r>
            <w:instrText xml:space="preserve"> PAGEREF _Toc617 \h </w:instrText>
          </w:r>
          <w:r>
            <w:fldChar w:fldCharType="separate"/>
          </w:r>
          <w:r>
            <w:t>34</w:t>
          </w:r>
          <w:r>
            <w:fldChar w:fldCharType="end"/>
          </w:r>
          <w:r>
            <w:fldChar w:fldCharType="end"/>
          </w:r>
        </w:p>
        <w:p w14:paraId="4D44564A">
          <w:pPr>
            <w:pStyle w:val="15"/>
            <w:tabs>
              <w:tab w:val="right" w:leader="dot" w:pos="8306"/>
            </w:tabs>
          </w:pPr>
          <w:r>
            <w:fldChar w:fldCharType="begin"/>
          </w:r>
          <w:r>
            <w:instrText xml:space="preserve"> HYPERLINK \l _Toc12337 </w:instrText>
          </w:r>
          <w:r>
            <w:fldChar w:fldCharType="separate"/>
          </w:r>
          <w:r>
            <w:rPr>
              <w:rFonts w:hint="default" w:ascii="Times New Roman" w:hAnsi="Times New Roman" w:eastAsia="方正楷体_GB2312" w:cs="Times New Roman"/>
            </w:rPr>
            <w:t>5.</w:t>
          </w:r>
          <w:r>
            <w:rPr>
              <w:rFonts w:hint="eastAsia" w:ascii="Times New Roman" w:hAnsi="Times New Roman" w:eastAsia="方正楷体_GB2312" w:cs="Times New Roman"/>
              <w:lang w:val="en-US" w:eastAsia="zh-CN"/>
            </w:rPr>
            <w:t>5</w:t>
          </w:r>
          <w:r>
            <w:rPr>
              <w:rFonts w:hint="default" w:ascii="Times New Roman" w:hAnsi="Times New Roman" w:eastAsia="方正楷体_GB2312" w:cs="Times New Roman"/>
            </w:rPr>
            <w:t>未存在矿产压覆、地灾和文物遗址</w:t>
          </w:r>
          <w:r>
            <w:tab/>
          </w:r>
          <w:r>
            <w:fldChar w:fldCharType="begin"/>
          </w:r>
          <w:r>
            <w:instrText xml:space="preserve"> PAGEREF _Toc12337 \h </w:instrText>
          </w:r>
          <w:r>
            <w:fldChar w:fldCharType="separate"/>
          </w:r>
          <w:r>
            <w:t>34</w:t>
          </w:r>
          <w:r>
            <w:fldChar w:fldCharType="end"/>
          </w:r>
          <w:r>
            <w:fldChar w:fldCharType="end"/>
          </w:r>
        </w:p>
        <w:p w14:paraId="481DD45F">
          <w:pPr>
            <w:pStyle w:val="13"/>
            <w:tabs>
              <w:tab w:val="right" w:leader="dot" w:pos="8306"/>
            </w:tabs>
          </w:pPr>
          <w:r>
            <w:fldChar w:fldCharType="begin"/>
          </w:r>
          <w:r>
            <w:instrText xml:space="preserve"> HYPERLINK \l _Toc8098 </w:instrText>
          </w:r>
          <w:r>
            <w:fldChar w:fldCharType="separate"/>
          </w:r>
          <w:r>
            <w:rPr>
              <w:rFonts w:hint="default" w:ascii="Times New Roman" w:hAnsi="Times New Roman" w:eastAsia="黑体" w:cs="Times New Roman"/>
              <w:szCs w:val="32"/>
            </w:rPr>
            <w:t>6.纳入国民经济与社会发展年度计划情况</w:t>
          </w:r>
          <w:r>
            <w:tab/>
          </w:r>
          <w:r>
            <w:fldChar w:fldCharType="begin"/>
          </w:r>
          <w:r>
            <w:instrText xml:space="preserve"> PAGEREF _Toc8098 \h </w:instrText>
          </w:r>
          <w:r>
            <w:fldChar w:fldCharType="separate"/>
          </w:r>
          <w:r>
            <w:t>36</w:t>
          </w:r>
          <w:r>
            <w:fldChar w:fldCharType="end"/>
          </w:r>
          <w:r>
            <w:fldChar w:fldCharType="end"/>
          </w:r>
        </w:p>
        <w:p w14:paraId="1E281516">
          <w:pPr>
            <w:pStyle w:val="13"/>
            <w:tabs>
              <w:tab w:val="right" w:leader="dot" w:pos="8306"/>
            </w:tabs>
          </w:pPr>
          <w:r>
            <w:fldChar w:fldCharType="begin"/>
          </w:r>
          <w:r>
            <w:instrText xml:space="preserve"> HYPERLINK \l _Toc13156 </w:instrText>
          </w:r>
          <w:r>
            <w:fldChar w:fldCharType="separate"/>
          </w:r>
          <w:r>
            <w:rPr>
              <w:rFonts w:hint="default" w:ascii="Times New Roman" w:hAnsi="Times New Roman" w:eastAsia="黑体" w:cs="Times New Roman"/>
              <w:szCs w:val="32"/>
            </w:rPr>
            <w:t>7.土地征收成片开发实施计划</w:t>
          </w:r>
          <w:r>
            <w:tab/>
          </w:r>
          <w:r>
            <w:fldChar w:fldCharType="begin"/>
          </w:r>
          <w:r>
            <w:instrText xml:space="preserve"> PAGEREF _Toc13156 \h </w:instrText>
          </w:r>
          <w:r>
            <w:fldChar w:fldCharType="separate"/>
          </w:r>
          <w:r>
            <w:t>37</w:t>
          </w:r>
          <w:r>
            <w:fldChar w:fldCharType="end"/>
          </w:r>
          <w:r>
            <w:fldChar w:fldCharType="end"/>
          </w:r>
        </w:p>
        <w:p w14:paraId="2DEB228F">
          <w:pPr>
            <w:pStyle w:val="15"/>
            <w:tabs>
              <w:tab w:val="right" w:leader="dot" w:pos="8306"/>
            </w:tabs>
          </w:pPr>
          <w:r>
            <w:fldChar w:fldCharType="begin"/>
          </w:r>
          <w:r>
            <w:instrText xml:space="preserve"> HYPERLINK \l _Toc21443 </w:instrText>
          </w:r>
          <w:r>
            <w:fldChar w:fldCharType="separate"/>
          </w:r>
          <w:r>
            <w:rPr>
              <w:rFonts w:hint="default" w:ascii="Times New Roman" w:hAnsi="Times New Roman" w:eastAsia="方正楷体_GB2312" w:cs="Times New Roman"/>
            </w:rPr>
            <w:t>7.1成片开发片区</w:t>
          </w:r>
          <w:r>
            <w:tab/>
          </w:r>
          <w:r>
            <w:fldChar w:fldCharType="begin"/>
          </w:r>
          <w:r>
            <w:instrText xml:space="preserve"> PAGEREF _Toc21443 \h </w:instrText>
          </w:r>
          <w:r>
            <w:fldChar w:fldCharType="separate"/>
          </w:r>
          <w:r>
            <w:t>37</w:t>
          </w:r>
          <w:r>
            <w:fldChar w:fldCharType="end"/>
          </w:r>
          <w:r>
            <w:fldChar w:fldCharType="end"/>
          </w:r>
        </w:p>
        <w:p w14:paraId="342EBF40">
          <w:pPr>
            <w:pStyle w:val="15"/>
            <w:tabs>
              <w:tab w:val="right" w:leader="dot" w:pos="8306"/>
            </w:tabs>
          </w:pPr>
          <w:r>
            <w:fldChar w:fldCharType="begin"/>
          </w:r>
          <w:r>
            <w:instrText xml:space="preserve"> HYPERLINK \l _Toc22080 </w:instrText>
          </w:r>
          <w:r>
            <w:fldChar w:fldCharType="separate"/>
          </w:r>
          <w:r>
            <w:rPr>
              <w:rFonts w:hint="default" w:ascii="Times New Roman" w:hAnsi="Times New Roman" w:eastAsia="方正楷体_GB2312" w:cs="Times New Roman"/>
            </w:rPr>
            <w:t>7.</w:t>
          </w:r>
          <w:r>
            <w:rPr>
              <w:rFonts w:hint="default" w:ascii="Times New Roman" w:hAnsi="Times New Roman" w:eastAsia="方正楷体_GB2312" w:cs="Times New Roman"/>
              <w:lang w:val="en-US" w:eastAsia="zh-CN"/>
            </w:rPr>
            <w:t>2</w:t>
          </w:r>
          <w:r>
            <w:rPr>
              <w:rFonts w:hint="default" w:ascii="Times New Roman" w:hAnsi="Times New Roman" w:eastAsia="方正楷体_GB2312" w:cs="Times New Roman"/>
            </w:rPr>
            <w:t>成片开发区域内拟安排项目</w:t>
          </w:r>
          <w:r>
            <w:tab/>
          </w:r>
          <w:r>
            <w:fldChar w:fldCharType="begin"/>
          </w:r>
          <w:r>
            <w:instrText xml:space="preserve"> PAGEREF _Toc22080 \h </w:instrText>
          </w:r>
          <w:r>
            <w:fldChar w:fldCharType="separate"/>
          </w:r>
          <w:r>
            <w:t>39</w:t>
          </w:r>
          <w:r>
            <w:fldChar w:fldCharType="end"/>
          </w:r>
          <w:r>
            <w:fldChar w:fldCharType="end"/>
          </w:r>
        </w:p>
        <w:p w14:paraId="651E71C9">
          <w:pPr>
            <w:pStyle w:val="15"/>
            <w:tabs>
              <w:tab w:val="right" w:leader="dot" w:pos="8306"/>
            </w:tabs>
          </w:pPr>
          <w:r>
            <w:fldChar w:fldCharType="begin"/>
          </w:r>
          <w:r>
            <w:instrText xml:space="preserve"> HYPERLINK \l _Toc5579 </w:instrText>
          </w:r>
          <w:r>
            <w:fldChar w:fldCharType="separate"/>
          </w:r>
          <w:r>
            <w:rPr>
              <w:rFonts w:hint="default" w:ascii="Times New Roman" w:hAnsi="Times New Roman" w:eastAsia="方正楷体_GB2312" w:cs="Times New Roman"/>
            </w:rPr>
            <w:t>7.</w:t>
          </w:r>
          <w:r>
            <w:rPr>
              <w:rFonts w:hint="default" w:ascii="Times New Roman" w:hAnsi="Times New Roman" w:eastAsia="方正楷体_GB2312" w:cs="Times New Roman"/>
              <w:lang w:val="en-US" w:eastAsia="zh-CN"/>
            </w:rPr>
            <w:t>3</w:t>
          </w:r>
          <w:r>
            <w:rPr>
              <w:rFonts w:hint="default" w:ascii="Times New Roman" w:hAnsi="Times New Roman" w:eastAsia="方正楷体_GB2312" w:cs="Times New Roman"/>
            </w:rPr>
            <w:t>成片开发区域内开发时序和年度实施计划</w:t>
          </w:r>
          <w:r>
            <w:tab/>
          </w:r>
          <w:r>
            <w:fldChar w:fldCharType="begin"/>
          </w:r>
          <w:r>
            <w:instrText xml:space="preserve"> PAGEREF _Toc5579 \h </w:instrText>
          </w:r>
          <w:r>
            <w:fldChar w:fldCharType="separate"/>
          </w:r>
          <w:r>
            <w:t>39</w:t>
          </w:r>
          <w:r>
            <w:fldChar w:fldCharType="end"/>
          </w:r>
          <w:r>
            <w:fldChar w:fldCharType="end"/>
          </w:r>
        </w:p>
        <w:p w14:paraId="1E16A4BA">
          <w:pPr>
            <w:pStyle w:val="13"/>
            <w:tabs>
              <w:tab w:val="right" w:leader="dot" w:pos="8306"/>
            </w:tabs>
          </w:pPr>
          <w:r>
            <w:fldChar w:fldCharType="begin"/>
          </w:r>
          <w:r>
            <w:instrText xml:space="preserve"> HYPERLINK \l _Toc13272 </w:instrText>
          </w:r>
          <w:r>
            <w:fldChar w:fldCharType="separate"/>
          </w:r>
          <w:r>
            <w:rPr>
              <w:rFonts w:hint="default" w:ascii="Times New Roman" w:hAnsi="Times New Roman" w:eastAsia="黑体" w:cs="Times New Roman"/>
              <w:szCs w:val="32"/>
            </w:rPr>
            <w:t>8.土地征收成片开发用途、功能和公益性用地比例</w:t>
          </w:r>
          <w:r>
            <w:tab/>
          </w:r>
          <w:r>
            <w:fldChar w:fldCharType="begin"/>
          </w:r>
          <w:r>
            <w:instrText xml:space="preserve"> PAGEREF _Toc13272 \h </w:instrText>
          </w:r>
          <w:r>
            <w:fldChar w:fldCharType="separate"/>
          </w:r>
          <w:r>
            <w:t>41</w:t>
          </w:r>
          <w:r>
            <w:fldChar w:fldCharType="end"/>
          </w:r>
          <w:r>
            <w:fldChar w:fldCharType="end"/>
          </w:r>
        </w:p>
        <w:p w14:paraId="63615C25">
          <w:pPr>
            <w:pStyle w:val="15"/>
            <w:tabs>
              <w:tab w:val="right" w:leader="dot" w:pos="8306"/>
            </w:tabs>
          </w:pPr>
          <w:r>
            <w:fldChar w:fldCharType="begin"/>
          </w:r>
          <w:r>
            <w:instrText xml:space="preserve"> HYPERLINK \l _Toc28311 </w:instrText>
          </w:r>
          <w:r>
            <w:fldChar w:fldCharType="separate"/>
          </w:r>
          <w:r>
            <w:rPr>
              <w:rFonts w:hint="default" w:ascii="Times New Roman" w:hAnsi="Times New Roman" w:eastAsia="方正楷体_GB2312" w:cs="Times New Roman"/>
            </w:rPr>
            <w:t>8.1主要用途</w:t>
          </w:r>
          <w:r>
            <w:tab/>
          </w:r>
          <w:r>
            <w:fldChar w:fldCharType="begin"/>
          </w:r>
          <w:r>
            <w:instrText xml:space="preserve"> PAGEREF _Toc28311 \h </w:instrText>
          </w:r>
          <w:r>
            <w:fldChar w:fldCharType="separate"/>
          </w:r>
          <w:r>
            <w:t>41</w:t>
          </w:r>
          <w:r>
            <w:fldChar w:fldCharType="end"/>
          </w:r>
          <w:r>
            <w:fldChar w:fldCharType="end"/>
          </w:r>
        </w:p>
        <w:p w14:paraId="7178D397">
          <w:pPr>
            <w:pStyle w:val="15"/>
            <w:tabs>
              <w:tab w:val="right" w:leader="dot" w:pos="8306"/>
            </w:tabs>
          </w:pPr>
          <w:r>
            <w:fldChar w:fldCharType="begin"/>
          </w:r>
          <w:r>
            <w:instrText xml:space="preserve"> HYPERLINK \l _Toc16088 </w:instrText>
          </w:r>
          <w:r>
            <w:fldChar w:fldCharType="separate"/>
          </w:r>
          <w:r>
            <w:rPr>
              <w:rFonts w:hint="default" w:ascii="Times New Roman" w:hAnsi="Times New Roman" w:eastAsia="方正楷体_GB2312" w:cs="Times New Roman"/>
            </w:rPr>
            <w:t>8.2片区实现的功能</w:t>
          </w:r>
          <w:r>
            <w:tab/>
          </w:r>
          <w:r>
            <w:fldChar w:fldCharType="begin"/>
          </w:r>
          <w:r>
            <w:instrText xml:space="preserve"> PAGEREF _Toc16088 \h </w:instrText>
          </w:r>
          <w:r>
            <w:fldChar w:fldCharType="separate"/>
          </w:r>
          <w:r>
            <w:t>41</w:t>
          </w:r>
          <w:r>
            <w:fldChar w:fldCharType="end"/>
          </w:r>
          <w:r>
            <w:fldChar w:fldCharType="end"/>
          </w:r>
        </w:p>
        <w:p w14:paraId="26C97DEB">
          <w:pPr>
            <w:pStyle w:val="15"/>
            <w:tabs>
              <w:tab w:val="right" w:leader="dot" w:pos="8306"/>
            </w:tabs>
          </w:pPr>
          <w:r>
            <w:fldChar w:fldCharType="begin"/>
          </w:r>
          <w:r>
            <w:instrText xml:space="preserve"> HYPERLINK \l _Toc20235 </w:instrText>
          </w:r>
          <w:r>
            <w:fldChar w:fldCharType="separate"/>
          </w:r>
          <w:r>
            <w:rPr>
              <w:rFonts w:hint="default" w:ascii="Times New Roman" w:hAnsi="Times New Roman" w:eastAsia="方正楷体_GB2312" w:cs="Times New Roman"/>
            </w:rPr>
            <w:t>8.3公益性用地比例</w:t>
          </w:r>
          <w:r>
            <w:tab/>
          </w:r>
          <w:r>
            <w:fldChar w:fldCharType="begin"/>
          </w:r>
          <w:r>
            <w:instrText xml:space="preserve"> PAGEREF _Toc20235 \h </w:instrText>
          </w:r>
          <w:r>
            <w:fldChar w:fldCharType="separate"/>
          </w:r>
          <w:r>
            <w:t>41</w:t>
          </w:r>
          <w:r>
            <w:fldChar w:fldCharType="end"/>
          </w:r>
          <w:r>
            <w:fldChar w:fldCharType="end"/>
          </w:r>
        </w:p>
        <w:p w14:paraId="078C02CE">
          <w:pPr>
            <w:pStyle w:val="13"/>
            <w:tabs>
              <w:tab w:val="right" w:leader="dot" w:pos="8306"/>
            </w:tabs>
          </w:pPr>
          <w:r>
            <w:fldChar w:fldCharType="begin"/>
          </w:r>
          <w:r>
            <w:instrText xml:space="preserve"> HYPERLINK \l _Toc21566 </w:instrText>
          </w:r>
          <w:r>
            <w:fldChar w:fldCharType="separate"/>
          </w:r>
          <w:r>
            <w:rPr>
              <w:rFonts w:hint="default" w:ascii="Times New Roman" w:hAnsi="Times New Roman" w:eastAsia="黑体" w:cs="Times New Roman"/>
              <w:szCs w:val="32"/>
            </w:rPr>
            <w:t>9.开发区利用及节约集约用地分析</w:t>
          </w:r>
          <w:r>
            <w:tab/>
          </w:r>
          <w:r>
            <w:fldChar w:fldCharType="begin"/>
          </w:r>
          <w:r>
            <w:instrText xml:space="preserve"> PAGEREF _Toc21566 \h </w:instrText>
          </w:r>
          <w:r>
            <w:fldChar w:fldCharType="separate"/>
          </w:r>
          <w:r>
            <w:t>42</w:t>
          </w:r>
          <w:r>
            <w:fldChar w:fldCharType="end"/>
          </w:r>
          <w:r>
            <w:fldChar w:fldCharType="end"/>
          </w:r>
        </w:p>
        <w:p w14:paraId="58BB26E5">
          <w:pPr>
            <w:pStyle w:val="15"/>
            <w:tabs>
              <w:tab w:val="right" w:leader="dot" w:pos="8306"/>
            </w:tabs>
          </w:pPr>
          <w:r>
            <w:fldChar w:fldCharType="begin"/>
          </w:r>
          <w:r>
            <w:instrText xml:space="preserve"> HYPERLINK \l _Toc14639 </w:instrText>
          </w:r>
          <w:r>
            <w:fldChar w:fldCharType="separate"/>
          </w:r>
          <w:r>
            <w:rPr>
              <w:rFonts w:hint="default" w:ascii="Times New Roman" w:hAnsi="Times New Roman" w:eastAsia="方正楷体_GB2312" w:cs="Times New Roman"/>
              <w:lang w:val="en-US" w:eastAsia="zh-CN"/>
            </w:rPr>
            <w:t>9.1开发区土地利用</w:t>
          </w:r>
          <w:r>
            <w:tab/>
          </w:r>
          <w:r>
            <w:fldChar w:fldCharType="begin"/>
          </w:r>
          <w:r>
            <w:instrText xml:space="preserve"> PAGEREF _Toc14639 \h </w:instrText>
          </w:r>
          <w:r>
            <w:fldChar w:fldCharType="separate"/>
          </w:r>
          <w:r>
            <w:t>42</w:t>
          </w:r>
          <w:r>
            <w:fldChar w:fldCharType="end"/>
          </w:r>
          <w:r>
            <w:fldChar w:fldCharType="end"/>
          </w:r>
        </w:p>
        <w:p w14:paraId="03C0C2F0">
          <w:pPr>
            <w:pStyle w:val="15"/>
            <w:tabs>
              <w:tab w:val="right" w:leader="dot" w:pos="8306"/>
            </w:tabs>
          </w:pPr>
          <w:r>
            <w:fldChar w:fldCharType="begin"/>
          </w:r>
          <w:r>
            <w:instrText xml:space="preserve"> HYPERLINK \l _Toc10992 </w:instrText>
          </w:r>
          <w:r>
            <w:fldChar w:fldCharType="separate"/>
          </w:r>
          <w:r>
            <w:rPr>
              <w:rFonts w:hint="default" w:ascii="Times New Roman" w:hAnsi="Times New Roman" w:eastAsia="方正楷体_GB2312" w:cs="Times New Roman"/>
              <w:lang w:val="en-US" w:eastAsia="zh-CN"/>
            </w:rPr>
            <w:t>9.2</w:t>
          </w:r>
          <w:r>
            <w:rPr>
              <w:rFonts w:hint="default" w:ascii="Times New Roman" w:hAnsi="Times New Roman" w:eastAsia="方正楷体_GB2312" w:cs="Times New Roman"/>
            </w:rPr>
            <w:t>节约集约用地分析</w:t>
          </w:r>
          <w:r>
            <w:tab/>
          </w:r>
          <w:r>
            <w:fldChar w:fldCharType="begin"/>
          </w:r>
          <w:r>
            <w:instrText xml:space="preserve"> PAGEREF _Toc10992 \h </w:instrText>
          </w:r>
          <w:r>
            <w:fldChar w:fldCharType="separate"/>
          </w:r>
          <w:r>
            <w:t>42</w:t>
          </w:r>
          <w:r>
            <w:fldChar w:fldCharType="end"/>
          </w:r>
          <w:r>
            <w:fldChar w:fldCharType="end"/>
          </w:r>
        </w:p>
        <w:p w14:paraId="3C021F45">
          <w:pPr>
            <w:pStyle w:val="13"/>
            <w:tabs>
              <w:tab w:val="right" w:leader="dot" w:pos="8306"/>
            </w:tabs>
          </w:pPr>
          <w:r>
            <w:fldChar w:fldCharType="begin"/>
          </w:r>
          <w:r>
            <w:instrText xml:space="preserve"> HYPERLINK \l _Toc14692 </w:instrText>
          </w:r>
          <w:r>
            <w:fldChar w:fldCharType="separate"/>
          </w:r>
          <w:r>
            <w:rPr>
              <w:rFonts w:hint="default" w:ascii="Times New Roman" w:hAnsi="Times New Roman" w:eastAsia="黑体" w:cs="Times New Roman"/>
              <w:szCs w:val="32"/>
            </w:rPr>
            <w:t>10.落实占补平衡措施</w:t>
          </w:r>
          <w:r>
            <w:tab/>
          </w:r>
          <w:r>
            <w:fldChar w:fldCharType="begin"/>
          </w:r>
          <w:r>
            <w:instrText xml:space="preserve"> PAGEREF _Toc14692 \h </w:instrText>
          </w:r>
          <w:r>
            <w:fldChar w:fldCharType="separate"/>
          </w:r>
          <w:r>
            <w:t>46</w:t>
          </w:r>
          <w:r>
            <w:fldChar w:fldCharType="end"/>
          </w:r>
          <w:r>
            <w:fldChar w:fldCharType="end"/>
          </w:r>
        </w:p>
        <w:p w14:paraId="68F2DF87">
          <w:pPr>
            <w:pStyle w:val="15"/>
            <w:tabs>
              <w:tab w:val="right" w:leader="dot" w:pos="8306"/>
            </w:tabs>
          </w:pPr>
          <w:r>
            <w:fldChar w:fldCharType="begin"/>
          </w:r>
          <w:r>
            <w:instrText xml:space="preserve"> HYPERLINK \l _Toc21135 </w:instrText>
          </w:r>
          <w:r>
            <w:fldChar w:fldCharType="separate"/>
          </w:r>
          <w:r>
            <w:rPr>
              <w:rFonts w:hint="default" w:ascii="Times New Roman" w:hAnsi="Times New Roman" w:eastAsia="方正楷体_GB2312" w:cs="Times New Roman"/>
              <w:lang w:val="en-US" w:eastAsia="zh-CN"/>
            </w:rPr>
            <w:t>10.1</w:t>
          </w:r>
          <w:r>
            <w:rPr>
              <w:rFonts w:hint="default" w:ascii="Times New Roman" w:hAnsi="Times New Roman" w:eastAsia="方正楷体_GB2312" w:cs="Times New Roman"/>
              <w:lang w:eastAsia="zh-CN"/>
            </w:rPr>
            <w:t>落实耕地占补平衡措施</w:t>
          </w:r>
          <w:r>
            <w:tab/>
          </w:r>
          <w:r>
            <w:fldChar w:fldCharType="begin"/>
          </w:r>
          <w:r>
            <w:instrText xml:space="preserve"> PAGEREF _Toc21135 \h </w:instrText>
          </w:r>
          <w:r>
            <w:fldChar w:fldCharType="separate"/>
          </w:r>
          <w:r>
            <w:t>46</w:t>
          </w:r>
          <w:r>
            <w:fldChar w:fldCharType="end"/>
          </w:r>
          <w:r>
            <w:fldChar w:fldCharType="end"/>
          </w:r>
        </w:p>
        <w:p w14:paraId="32695F1B">
          <w:pPr>
            <w:pStyle w:val="8"/>
            <w:tabs>
              <w:tab w:val="right" w:leader="dot" w:pos="8306"/>
            </w:tabs>
          </w:pPr>
          <w:r>
            <w:fldChar w:fldCharType="begin"/>
          </w:r>
          <w:r>
            <w:instrText xml:space="preserve"> HYPERLINK \l _Toc10856 </w:instrText>
          </w:r>
          <w:r>
            <w:fldChar w:fldCharType="separate"/>
          </w:r>
          <w:r>
            <w:rPr>
              <w:rFonts w:hint="default" w:ascii="Times New Roman" w:hAnsi="Times New Roman" w:eastAsia="方正仿宋_GB18030" w:cs="Times New Roman"/>
              <w:szCs w:val="32"/>
              <w:lang w:val="en-US" w:eastAsia="zh-CN"/>
            </w:rPr>
            <w:t>10.1.1依法落实和执行耕地占补平衡制度</w:t>
          </w:r>
          <w:r>
            <w:tab/>
          </w:r>
          <w:r>
            <w:fldChar w:fldCharType="begin"/>
          </w:r>
          <w:r>
            <w:instrText xml:space="preserve"> PAGEREF _Toc10856 \h </w:instrText>
          </w:r>
          <w:r>
            <w:fldChar w:fldCharType="separate"/>
          </w:r>
          <w:r>
            <w:t>46</w:t>
          </w:r>
          <w:r>
            <w:fldChar w:fldCharType="end"/>
          </w:r>
          <w:r>
            <w:fldChar w:fldCharType="end"/>
          </w:r>
        </w:p>
        <w:p w14:paraId="18BD3CD5">
          <w:pPr>
            <w:pStyle w:val="8"/>
            <w:tabs>
              <w:tab w:val="right" w:leader="dot" w:pos="8306"/>
            </w:tabs>
          </w:pPr>
          <w:r>
            <w:fldChar w:fldCharType="begin"/>
          </w:r>
          <w:r>
            <w:instrText xml:space="preserve"> HYPERLINK \l _Toc9730 </w:instrText>
          </w:r>
          <w:r>
            <w:fldChar w:fldCharType="separate"/>
          </w:r>
          <w:r>
            <w:rPr>
              <w:rFonts w:hint="default" w:ascii="Times New Roman" w:hAnsi="Times New Roman" w:eastAsia="方正仿宋_GB18030" w:cs="Times New Roman"/>
              <w:szCs w:val="32"/>
              <w:lang w:val="en-US" w:eastAsia="zh-CN"/>
            </w:rPr>
            <w:t>10.1.2严格落实耕地占补平衡任务</w:t>
          </w:r>
          <w:r>
            <w:tab/>
          </w:r>
          <w:r>
            <w:fldChar w:fldCharType="begin"/>
          </w:r>
          <w:r>
            <w:instrText xml:space="preserve"> PAGEREF _Toc9730 \h </w:instrText>
          </w:r>
          <w:r>
            <w:fldChar w:fldCharType="separate"/>
          </w:r>
          <w:r>
            <w:t>46</w:t>
          </w:r>
          <w:r>
            <w:fldChar w:fldCharType="end"/>
          </w:r>
          <w:r>
            <w:fldChar w:fldCharType="end"/>
          </w:r>
        </w:p>
        <w:p w14:paraId="6429EF88">
          <w:pPr>
            <w:pStyle w:val="8"/>
            <w:tabs>
              <w:tab w:val="right" w:leader="dot" w:pos="8306"/>
            </w:tabs>
          </w:pPr>
          <w:r>
            <w:fldChar w:fldCharType="begin"/>
          </w:r>
          <w:r>
            <w:instrText xml:space="preserve"> HYPERLINK \l _Toc8761 </w:instrText>
          </w:r>
          <w:r>
            <w:fldChar w:fldCharType="separate"/>
          </w:r>
          <w:r>
            <w:rPr>
              <w:rFonts w:hint="default" w:ascii="Times New Roman" w:hAnsi="Times New Roman" w:eastAsia="方正仿宋_GB18030" w:cs="Times New Roman"/>
              <w:szCs w:val="32"/>
              <w:lang w:val="en-US" w:eastAsia="zh-CN"/>
            </w:rPr>
            <w:t>10.1.3足额缴纳耕地开垦费</w:t>
          </w:r>
          <w:r>
            <w:tab/>
          </w:r>
          <w:r>
            <w:fldChar w:fldCharType="begin"/>
          </w:r>
          <w:r>
            <w:instrText xml:space="preserve"> PAGEREF _Toc8761 \h </w:instrText>
          </w:r>
          <w:r>
            <w:fldChar w:fldCharType="separate"/>
          </w:r>
          <w:r>
            <w:t>47</w:t>
          </w:r>
          <w:r>
            <w:fldChar w:fldCharType="end"/>
          </w:r>
          <w:r>
            <w:fldChar w:fldCharType="end"/>
          </w:r>
        </w:p>
        <w:p w14:paraId="009082B7">
          <w:pPr>
            <w:pStyle w:val="15"/>
            <w:tabs>
              <w:tab w:val="right" w:leader="dot" w:pos="8306"/>
            </w:tabs>
          </w:pPr>
          <w:r>
            <w:fldChar w:fldCharType="begin"/>
          </w:r>
          <w:r>
            <w:instrText xml:space="preserve"> HYPERLINK \l _Toc14130 </w:instrText>
          </w:r>
          <w:r>
            <w:fldChar w:fldCharType="separate"/>
          </w:r>
          <w:r>
            <w:rPr>
              <w:rFonts w:hint="default" w:ascii="Times New Roman" w:hAnsi="Times New Roman" w:eastAsia="方正楷体_GB2312" w:cs="Times New Roman"/>
              <w:lang w:val="en-US" w:eastAsia="zh-CN"/>
            </w:rPr>
            <w:t>10.2</w:t>
          </w:r>
          <w:r>
            <w:rPr>
              <w:rFonts w:hint="default" w:ascii="Times New Roman" w:hAnsi="Times New Roman" w:eastAsia="方正楷体_GB2312" w:cs="Times New Roman"/>
              <w:lang w:eastAsia="zh-CN"/>
            </w:rPr>
            <w:t>落实林地占补平衡措施</w:t>
          </w:r>
          <w:r>
            <w:tab/>
          </w:r>
          <w:r>
            <w:fldChar w:fldCharType="begin"/>
          </w:r>
          <w:r>
            <w:instrText xml:space="preserve"> PAGEREF _Toc14130 \h </w:instrText>
          </w:r>
          <w:r>
            <w:fldChar w:fldCharType="separate"/>
          </w:r>
          <w:r>
            <w:t>47</w:t>
          </w:r>
          <w:r>
            <w:fldChar w:fldCharType="end"/>
          </w:r>
          <w:r>
            <w:fldChar w:fldCharType="end"/>
          </w:r>
        </w:p>
        <w:p w14:paraId="5CB27EC6">
          <w:pPr>
            <w:pStyle w:val="13"/>
            <w:tabs>
              <w:tab w:val="right" w:leader="dot" w:pos="8306"/>
            </w:tabs>
          </w:pPr>
          <w:r>
            <w:fldChar w:fldCharType="begin"/>
          </w:r>
          <w:r>
            <w:instrText xml:space="preserve"> HYPERLINK \l _Toc5979 </w:instrText>
          </w:r>
          <w:r>
            <w:fldChar w:fldCharType="separate"/>
          </w:r>
          <w:r>
            <w:rPr>
              <w:rFonts w:hint="default" w:ascii="Times New Roman" w:hAnsi="Times New Roman" w:eastAsia="黑体" w:cs="Times New Roman"/>
              <w:szCs w:val="32"/>
            </w:rPr>
            <w:t>1</w:t>
          </w:r>
          <w:r>
            <w:rPr>
              <w:rFonts w:hint="default" w:ascii="Times New Roman" w:hAnsi="Times New Roman" w:eastAsia="黑体" w:cs="Times New Roman"/>
              <w:szCs w:val="32"/>
              <w:lang w:val="en-US" w:eastAsia="zh-CN"/>
            </w:rPr>
            <w:t>1</w:t>
          </w:r>
          <w:r>
            <w:rPr>
              <w:rFonts w:hint="default" w:ascii="Times New Roman" w:hAnsi="Times New Roman" w:eastAsia="黑体" w:cs="Times New Roman"/>
              <w:szCs w:val="32"/>
            </w:rPr>
            <w:t>.</w:t>
          </w:r>
          <w:r>
            <w:rPr>
              <w:rFonts w:hint="default" w:ascii="Times New Roman" w:hAnsi="Times New Roman" w:eastAsia="黑体" w:cs="Times New Roman"/>
              <w:szCs w:val="32"/>
              <w:lang w:eastAsia="zh-CN"/>
            </w:rPr>
            <w:t>黑土地保护专章</w:t>
          </w:r>
          <w:r>
            <w:tab/>
          </w:r>
          <w:r>
            <w:fldChar w:fldCharType="begin"/>
          </w:r>
          <w:r>
            <w:instrText xml:space="preserve"> PAGEREF _Toc5979 \h </w:instrText>
          </w:r>
          <w:r>
            <w:fldChar w:fldCharType="separate"/>
          </w:r>
          <w:r>
            <w:t>48</w:t>
          </w:r>
          <w:r>
            <w:fldChar w:fldCharType="end"/>
          </w:r>
          <w:r>
            <w:fldChar w:fldCharType="end"/>
          </w:r>
        </w:p>
        <w:p w14:paraId="1D038DAD">
          <w:pPr>
            <w:pStyle w:val="15"/>
            <w:tabs>
              <w:tab w:val="right" w:leader="dot" w:pos="8306"/>
            </w:tabs>
          </w:pPr>
          <w:r>
            <w:fldChar w:fldCharType="begin"/>
          </w:r>
          <w:r>
            <w:instrText xml:space="preserve"> HYPERLINK \l _Toc9679 </w:instrText>
          </w:r>
          <w:r>
            <w:fldChar w:fldCharType="separate"/>
          </w:r>
          <w:r>
            <w:rPr>
              <w:rFonts w:hint="default" w:ascii="Times New Roman" w:hAnsi="Times New Roman" w:eastAsia="方正楷体_GB2312" w:cs="Times New Roman"/>
              <w:lang w:val="en-US" w:eastAsia="zh-CN"/>
            </w:rPr>
            <w:t>11.1占用黑土耕地的必要性和合理性</w:t>
          </w:r>
          <w:r>
            <w:tab/>
          </w:r>
          <w:r>
            <w:fldChar w:fldCharType="begin"/>
          </w:r>
          <w:r>
            <w:instrText xml:space="preserve"> PAGEREF _Toc9679 \h </w:instrText>
          </w:r>
          <w:r>
            <w:fldChar w:fldCharType="separate"/>
          </w:r>
          <w:r>
            <w:t>48</w:t>
          </w:r>
          <w:r>
            <w:fldChar w:fldCharType="end"/>
          </w:r>
          <w:r>
            <w:fldChar w:fldCharType="end"/>
          </w:r>
        </w:p>
        <w:p w14:paraId="17D8446D">
          <w:pPr>
            <w:pStyle w:val="8"/>
            <w:tabs>
              <w:tab w:val="right" w:leader="dot" w:pos="8306"/>
            </w:tabs>
          </w:pPr>
          <w:r>
            <w:fldChar w:fldCharType="begin"/>
          </w:r>
          <w:r>
            <w:instrText xml:space="preserve"> HYPERLINK \l _Toc2323 </w:instrText>
          </w:r>
          <w:r>
            <w:fldChar w:fldCharType="separate"/>
          </w:r>
          <w:r>
            <w:rPr>
              <w:rFonts w:hint="default" w:ascii="Times New Roman" w:hAnsi="Times New Roman" w:eastAsia="方正仿宋_GB18030" w:cs="Times New Roman"/>
              <w:szCs w:val="32"/>
              <w:lang w:val="en-US" w:eastAsia="zh-CN"/>
            </w:rPr>
            <w:t>11.1.1占用黑土耕地的必要性</w:t>
          </w:r>
          <w:r>
            <w:tab/>
          </w:r>
          <w:r>
            <w:fldChar w:fldCharType="begin"/>
          </w:r>
          <w:r>
            <w:instrText xml:space="preserve"> PAGEREF _Toc2323 \h </w:instrText>
          </w:r>
          <w:r>
            <w:fldChar w:fldCharType="separate"/>
          </w:r>
          <w:r>
            <w:t>48</w:t>
          </w:r>
          <w:r>
            <w:fldChar w:fldCharType="end"/>
          </w:r>
          <w:r>
            <w:fldChar w:fldCharType="end"/>
          </w:r>
        </w:p>
        <w:p w14:paraId="386E82CB">
          <w:pPr>
            <w:pStyle w:val="8"/>
            <w:tabs>
              <w:tab w:val="right" w:leader="dot" w:pos="8306"/>
            </w:tabs>
          </w:pPr>
          <w:r>
            <w:fldChar w:fldCharType="begin"/>
          </w:r>
          <w:r>
            <w:instrText xml:space="preserve"> HYPERLINK \l _Toc8473 </w:instrText>
          </w:r>
          <w:r>
            <w:fldChar w:fldCharType="separate"/>
          </w:r>
          <w:r>
            <w:rPr>
              <w:rFonts w:hint="default" w:ascii="Times New Roman" w:hAnsi="Times New Roman" w:eastAsia="方正仿宋_GB18030" w:cs="Times New Roman"/>
              <w:szCs w:val="32"/>
              <w:lang w:val="en-US" w:eastAsia="zh-CN"/>
            </w:rPr>
            <w:t>11.1.2占用黑土耕地的合理性</w:t>
          </w:r>
          <w:r>
            <w:tab/>
          </w:r>
          <w:r>
            <w:fldChar w:fldCharType="begin"/>
          </w:r>
          <w:r>
            <w:instrText xml:space="preserve"> PAGEREF _Toc8473 \h </w:instrText>
          </w:r>
          <w:r>
            <w:fldChar w:fldCharType="separate"/>
          </w:r>
          <w:r>
            <w:t>48</w:t>
          </w:r>
          <w:r>
            <w:fldChar w:fldCharType="end"/>
          </w:r>
          <w:r>
            <w:fldChar w:fldCharType="end"/>
          </w:r>
        </w:p>
        <w:p w14:paraId="3F22886A">
          <w:pPr>
            <w:pStyle w:val="15"/>
            <w:tabs>
              <w:tab w:val="right" w:leader="dot" w:pos="8306"/>
            </w:tabs>
          </w:pPr>
          <w:r>
            <w:fldChar w:fldCharType="begin"/>
          </w:r>
          <w:r>
            <w:instrText xml:space="preserve"> HYPERLINK \l _Toc2694 </w:instrText>
          </w:r>
          <w:r>
            <w:fldChar w:fldCharType="separate"/>
          </w:r>
          <w:r>
            <w:rPr>
              <w:rFonts w:hint="default" w:ascii="Times New Roman" w:hAnsi="Times New Roman" w:eastAsia="方正楷体_GB2312" w:cs="Times New Roman"/>
              <w:lang w:val="en-US" w:eastAsia="zh-CN"/>
            </w:rPr>
            <w:t>11.2“占黑土补黑土”与表土剥离</w:t>
          </w:r>
          <w:r>
            <w:tab/>
          </w:r>
          <w:r>
            <w:fldChar w:fldCharType="begin"/>
          </w:r>
          <w:r>
            <w:instrText xml:space="preserve"> PAGEREF _Toc2694 \h </w:instrText>
          </w:r>
          <w:r>
            <w:fldChar w:fldCharType="separate"/>
          </w:r>
          <w:r>
            <w:t>49</w:t>
          </w:r>
          <w:r>
            <w:fldChar w:fldCharType="end"/>
          </w:r>
          <w:r>
            <w:fldChar w:fldCharType="end"/>
          </w:r>
        </w:p>
        <w:p w14:paraId="44E872AD">
          <w:pPr>
            <w:pStyle w:val="15"/>
            <w:tabs>
              <w:tab w:val="right" w:leader="dot" w:pos="8306"/>
            </w:tabs>
          </w:pPr>
          <w:r>
            <w:fldChar w:fldCharType="begin"/>
          </w:r>
          <w:r>
            <w:instrText xml:space="preserve"> HYPERLINK \l _Toc5367 </w:instrText>
          </w:r>
          <w:r>
            <w:fldChar w:fldCharType="separate"/>
          </w:r>
          <w:r>
            <w:rPr>
              <w:rFonts w:hint="default" w:ascii="Times New Roman" w:hAnsi="Times New Roman" w:eastAsia="方正楷体_GB2312" w:cs="Times New Roman"/>
              <w:lang w:val="en-US" w:eastAsia="zh-CN"/>
            </w:rPr>
            <w:t>11.3剥离土壤利用</w:t>
          </w:r>
          <w:r>
            <w:tab/>
          </w:r>
          <w:r>
            <w:fldChar w:fldCharType="begin"/>
          </w:r>
          <w:r>
            <w:instrText xml:space="preserve"> PAGEREF _Toc5367 \h </w:instrText>
          </w:r>
          <w:r>
            <w:fldChar w:fldCharType="separate"/>
          </w:r>
          <w:r>
            <w:t>50</w:t>
          </w:r>
          <w:r>
            <w:fldChar w:fldCharType="end"/>
          </w:r>
          <w:r>
            <w:fldChar w:fldCharType="end"/>
          </w:r>
        </w:p>
        <w:p w14:paraId="4A86C387">
          <w:pPr>
            <w:pStyle w:val="15"/>
            <w:tabs>
              <w:tab w:val="right" w:leader="dot" w:pos="8306"/>
            </w:tabs>
          </w:pPr>
          <w:r>
            <w:fldChar w:fldCharType="begin"/>
          </w:r>
          <w:r>
            <w:instrText xml:space="preserve"> HYPERLINK \l _Toc20457 </w:instrText>
          </w:r>
          <w:r>
            <w:fldChar w:fldCharType="separate"/>
          </w:r>
          <w:r>
            <w:rPr>
              <w:rFonts w:hint="default" w:ascii="Times New Roman" w:hAnsi="Times New Roman" w:eastAsia="方正楷体_GB2312" w:cs="Times New Roman"/>
              <w:lang w:val="en-US" w:eastAsia="zh-CN"/>
            </w:rPr>
            <w:t>11.4储存区土壤管护和监测</w:t>
          </w:r>
          <w:r>
            <w:tab/>
          </w:r>
          <w:r>
            <w:fldChar w:fldCharType="begin"/>
          </w:r>
          <w:r>
            <w:instrText xml:space="preserve"> PAGEREF _Toc20457 \h </w:instrText>
          </w:r>
          <w:r>
            <w:fldChar w:fldCharType="separate"/>
          </w:r>
          <w:r>
            <w:t>50</w:t>
          </w:r>
          <w:r>
            <w:fldChar w:fldCharType="end"/>
          </w:r>
          <w:r>
            <w:fldChar w:fldCharType="end"/>
          </w:r>
        </w:p>
        <w:p w14:paraId="429AF660">
          <w:pPr>
            <w:pStyle w:val="15"/>
            <w:tabs>
              <w:tab w:val="right" w:leader="dot" w:pos="8306"/>
            </w:tabs>
          </w:pPr>
          <w:r>
            <w:fldChar w:fldCharType="begin"/>
          </w:r>
          <w:r>
            <w:instrText xml:space="preserve"> HYPERLINK \l _Toc17650 </w:instrText>
          </w:r>
          <w:r>
            <w:fldChar w:fldCharType="separate"/>
          </w:r>
          <w:r>
            <w:rPr>
              <w:rFonts w:hint="default" w:ascii="Times New Roman" w:hAnsi="Times New Roman" w:eastAsia="方正楷体_GB2312" w:cs="Times New Roman"/>
              <w:lang w:val="en-US" w:eastAsia="zh-CN"/>
            </w:rPr>
            <w:t>11.5剥离土壤保护措施</w:t>
          </w:r>
          <w:r>
            <w:tab/>
          </w:r>
          <w:r>
            <w:fldChar w:fldCharType="begin"/>
          </w:r>
          <w:r>
            <w:instrText xml:space="preserve"> PAGEREF _Toc17650 \h </w:instrText>
          </w:r>
          <w:r>
            <w:fldChar w:fldCharType="separate"/>
          </w:r>
          <w:r>
            <w:t>52</w:t>
          </w:r>
          <w:r>
            <w:fldChar w:fldCharType="end"/>
          </w:r>
          <w:r>
            <w:fldChar w:fldCharType="end"/>
          </w:r>
        </w:p>
        <w:p w14:paraId="5F2612A0">
          <w:pPr>
            <w:pStyle w:val="13"/>
            <w:tabs>
              <w:tab w:val="right" w:leader="dot" w:pos="8306"/>
            </w:tabs>
          </w:pPr>
          <w:r>
            <w:fldChar w:fldCharType="begin"/>
          </w:r>
          <w:r>
            <w:instrText xml:space="preserve"> HYPERLINK \l _Toc5671 </w:instrText>
          </w:r>
          <w:r>
            <w:fldChar w:fldCharType="separate"/>
          </w:r>
          <w:r>
            <w:rPr>
              <w:rFonts w:hint="default" w:ascii="Times New Roman" w:hAnsi="Times New Roman" w:eastAsia="黑体" w:cs="Times New Roman"/>
              <w:szCs w:val="32"/>
            </w:rPr>
            <w:t>1</w:t>
          </w:r>
          <w:r>
            <w:rPr>
              <w:rFonts w:hint="default" w:ascii="Times New Roman" w:hAnsi="Times New Roman" w:eastAsia="黑体" w:cs="Times New Roman"/>
              <w:szCs w:val="32"/>
              <w:lang w:val="en-US" w:eastAsia="zh-CN"/>
            </w:rPr>
            <w:t>2</w:t>
          </w:r>
          <w:r>
            <w:rPr>
              <w:rFonts w:hint="default" w:ascii="Times New Roman" w:hAnsi="Times New Roman" w:eastAsia="黑体" w:cs="Times New Roman"/>
              <w:szCs w:val="32"/>
            </w:rPr>
            <w:t>开发建设生态环境影响分析</w:t>
          </w:r>
          <w:r>
            <w:tab/>
          </w:r>
          <w:r>
            <w:fldChar w:fldCharType="begin"/>
          </w:r>
          <w:r>
            <w:instrText xml:space="preserve"> PAGEREF _Toc5671 \h </w:instrText>
          </w:r>
          <w:r>
            <w:fldChar w:fldCharType="separate"/>
          </w:r>
          <w:r>
            <w:t>53</w:t>
          </w:r>
          <w:r>
            <w:fldChar w:fldCharType="end"/>
          </w:r>
          <w:r>
            <w:fldChar w:fldCharType="end"/>
          </w:r>
        </w:p>
        <w:p w14:paraId="440C9335">
          <w:pPr>
            <w:pStyle w:val="15"/>
            <w:tabs>
              <w:tab w:val="right" w:leader="dot" w:pos="8306"/>
            </w:tabs>
          </w:pPr>
          <w:r>
            <w:fldChar w:fldCharType="begin"/>
          </w:r>
          <w:r>
            <w:instrText xml:space="preserve"> HYPERLINK \l _Toc27591 </w:instrText>
          </w:r>
          <w:r>
            <w:fldChar w:fldCharType="separate"/>
          </w:r>
          <w:r>
            <w:rPr>
              <w:rFonts w:hint="default" w:ascii="Times New Roman" w:hAnsi="Times New Roman" w:eastAsia="方正楷体_GB2312" w:cs="Times New Roman"/>
              <w:lang w:eastAsia="zh-CN"/>
            </w:rPr>
            <w:t>1</w:t>
          </w:r>
          <w:r>
            <w:rPr>
              <w:rFonts w:hint="default" w:ascii="Times New Roman" w:hAnsi="Times New Roman" w:eastAsia="方正楷体_GB2312" w:cs="Times New Roman"/>
              <w:lang w:val="en-US" w:eastAsia="zh-CN"/>
            </w:rPr>
            <w:t>2</w:t>
          </w:r>
          <w:r>
            <w:rPr>
              <w:rFonts w:hint="default" w:ascii="Times New Roman" w:hAnsi="Times New Roman" w:eastAsia="方正楷体_GB2312" w:cs="Times New Roman"/>
              <w:lang w:eastAsia="zh-CN"/>
            </w:rPr>
            <w:t>.1生态环境影响分析</w:t>
          </w:r>
          <w:r>
            <w:tab/>
          </w:r>
          <w:r>
            <w:fldChar w:fldCharType="begin"/>
          </w:r>
          <w:r>
            <w:instrText xml:space="preserve"> PAGEREF _Toc27591 \h </w:instrText>
          </w:r>
          <w:r>
            <w:fldChar w:fldCharType="separate"/>
          </w:r>
          <w:r>
            <w:t>53</w:t>
          </w:r>
          <w:r>
            <w:fldChar w:fldCharType="end"/>
          </w:r>
          <w:r>
            <w:fldChar w:fldCharType="end"/>
          </w:r>
        </w:p>
        <w:p w14:paraId="27C648B9">
          <w:pPr>
            <w:pStyle w:val="8"/>
            <w:tabs>
              <w:tab w:val="right" w:leader="dot" w:pos="8306"/>
            </w:tabs>
          </w:pPr>
          <w:r>
            <w:fldChar w:fldCharType="begin"/>
          </w:r>
          <w:r>
            <w:instrText xml:space="preserve"> HYPERLINK \l _Toc16543 </w:instrText>
          </w:r>
          <w:r>
            <w:fldChar w:fldCharType="separate"/>
          </w:r>
          <w:r>
            <w:rPr>
              <w:rFonts w:hint="default" w:ascii="Times New Roman" w:hAnsi="Times New Roman" w:eastAsia="方正仿宋_GB18030" w:cs="Times New Roman"/>
              <w:szCs w:val="32"/>
              <w:lang w:val="en-US" w:eastAsia="zh-CN"/>
            </w:rPr>
            <w:t>12.1.1施工期环境影响分析</w:t>
          </w:r>
          <w:r>
            <w:tab/>
          </w:r>
          <w:r>
            <w:fldChar w:fldCharType="begin"/>
          </w:r>
          <w:r>
            <w:instrText xml:space="preserve"> PAGEREF _Toc16543 \h </w:instrText>
          </w:r>
          <w:r>
            <w:fldChar w:fldCharType="separate"/>
          </w:r>
          <w:r>
            <w:t>53</w:t>
          </w:r>
          <w:r>
            <w:fldChar w:fldCharType="end"/>
          </w:r>
          <w:r>
            <w:fldChar w:fldCharType="end"/>
          </w:r>
        </w:p>
        <w:p w14:paraId="1F1AAE24">
          <w:pPr>
            <w:pStyle w:val="8"/>
            <w:tabs>
              <w:tab w:val="right" w:leader="dot" w:pos="8306"/>
            </w:tabs>
          </w:pPr>
          <w:r>
            <w:fldChar w:fldCharType="begin"/>
          </w:r>
          <w:r>
            <w:instrText xml:space="preserve"> HYPERLINK \l _Toc27810 </w:instrText>
          </w:r>
          <w:r>
            <w:fldChar w:fldCharType="separate"/>
          </w:r>
          <w:r>
            <w:rPr>
              <w:rFonts w:hint="default" w:ascii="Times New Roman" w:hAnsi="Times New Roman" w:eastAsia="方正仿宋_GB18030" w:cs="Times New Roman"/>
              <w:szCs w:val="32"/>
              <w:lang w:val="en-US" w:eastAsia="zh-CN"/>
            </w:rPr>
            <w:t>12.1.2运营期环境影响分析</w:t>
          </w:r>
          <w:r>
            <w:tab/>
          </w:r>
          <w:r>
            <w:fldChar w:fldCharType="begin"/>
          </w:r>
          <w:r>
            <w:instrText xml:space="preserve"> PAGEREF _Toc27810 \h </w:instrText>
          </w:r>
          <w:r>
            <w:fldChar w:fldCharType="separate"/>
          </w:r>
          <w:r>
            <w:t>54</w:t>
          </w:r>
          <w:r>
            <w:fldChar w:fldCharType="end"/>
          </w:r>
          <w:r>
            <w:fldChar w:fldCharType="end"/>
          </w:r>
        </w:p>
        <w:p w14:paraId="095C0925">
          <w:pPr>
            <w:pStyle w:val="15"/>
            <w:tabs>
              <w:tab w:val="right" w:leader="dot" w:pos="8306"/>
            </w:tabs>
          </w:pPr>
          <w:r>
            <w:fldChar w:fldCharType="begin"/>
          </w:r>
          <w:r>
            <w:instrText xml:space="preserve"> HYPERLINK \l _Toc9705 </w:instrText>
          </w:r>
          <w:r>
            <w:fldChar w:fldCharType="separate"/>
          </w:r>
          <w:r>
            <w:rPr>
              <w:rFonts w:hint="default" w:ascii="Times New Roman" w:hAnsi="Times New Roman" w:eastAsia="方正楷体_GB2312" w:cs="Times New Roman"/>
              <w:lang w:eastAsia="zh-CN"/>
            </w:rPr>
            <w:t>1</w:t>
          </w:r>
          <w:r>
            <w:rPr>
              <w:rFonts w:hint="default" w:ascii="Times New Roman" w:hAnsi="Times New Roman" w:eastAsia="方正楷体_GB2312" w:cs="Times New Roman"/>
              <w:lang w:val="en-US" w:eastAsia="zh-CN"/>
            </w:rPr>
            <w:t>2</w:t>
          </w:r>
          <w:r>
            <w:rPr>
              <w:rFonts w:hint="default" w:ascii="Times New Roman" w:hAnsi="Times New Roman" w:eastAsia="方正楷体_GB2312" w:cs="Times New Roman"/>
              <w:lang w:eastAsia="zh-CN"/>
            </w:rPr>
            <w:t>.2采取的主要保护对策和措施</w:t>
          </w:r>
          <w:r>
            <w:tab/>
          </w:r>
          <w:r>
            <w:fldChar w:fldCharType="begin"/>
          </w:r>
          <w:r>
            <w:instrText xml:space="preserve"> PAGEREF _Toc9705 \h </w:instrText>
          </w:r>
          <w:r>
            <w:fldChar w:fldCharType="separate"/>
          </w:r>
          <w:r>
            <w:t>55</w:t>
          </w:r>
          <w:r>
            <w:fldChar w:fldCharType="end"/>
          </w:r>
          <w:r>
            <w:fldChar w:fldCharType="end"/>
          </w:r>
        </w:p>
        <w:p w14:paraId="5AE3D7DF">
          <w:pPr>
            <w:pStyle w:val="8"/>
            <w:tabs>
              <w:tab w:val="right" w:leader="dot" w:pos="8306"/>
            </w:tabs>
          </w:pPr>
          <w:r>
            <w:fldChar w:fldCharType="begin"/>
          </w:r>
          <w:r>
            <w:instrText xml:space="preserve"> HYPERLINK \l _Toc19282 </w:instrText>
          </w:r>
          <w:r>
            <w:fldChar w:fldCharType="separate"/>
          </w:r>
          <w:r>
            <w:rPr>
              <w:rFonts w:hint="default" w:ascii="Times New Roman" w:hAnsi="Times New Roman" w:eastAsia="方正仿宋_GB18030" w:cs="Times New Roman"/>
              <w:szCs w:val="32"/>
              <w:lang w:val="en-US" w:eastAsia="zh-CN"/>
            </w:rPr>
            <w:t>12.2.1建设项目施工期拟采取的防治措施</w:t>
          </w:r>
          <w:r>
            <w:tab/>
          </w:r>
          <w:r>
            <w:fldChar w:fldCharType="begin"/>
          </w:r>
          <w:r>
            <w:instrText xml:space="preserve"> PAGEREF _Toc19282 \h </w:instrText>
          </w:r>
          <w:r>
            <w:fldChar w:fldCharType="separate"/>
          </w:r>
          <w:r>
            <w:t>55</w:t>
          </w:r>
          <w:r>
            <w:fldChar w:fldCharType="end"/>
          </w:r>
          <w:r>
            <w:fldChar w:fldCharType="end"/>
          </w:r>
        </w:p>
        <w:p w14:paraId="5A67AD3A">
          <w:pPr>
            <w:pStyle w:val="8"/>
            <w:tabs>
              <w:tab w:val="right" w:leader="dot" w:pos="8306"/>
            </w:tabs>
          </w:pPr>
          <w:r>
            <w:fldChar w:fldCharType="begin"/>
          </w:r>
          <w:r>
            <w:instrText xml:space="preserve"> HYPERLINK \l _Toc3020 </w:instrText>
          </w:r>
          <w:r>
            <w:fldChar w:fldCharType="separate"/>
          </w:r>
          <w:r>
            <w:rPr>
              <w:rFonts w:hint="default" w:ascii="Times New Roman" w:hAnsi="Times New Roman" w:eastAsia="方正仿宋_GB18030" w:cs="Times New Roman"/>
              <w:szCs w:val="32"/>
              <w:lang w:val="en-US" w:eastAsia="zh-CN"/>
            </w:rPr>
            <w:t>12.2.2运营后环境保护措施</w:t>
          </w:r>
          <w:r>
            <w:tab/>
          </w:r>
          <w:r>
            <w:fldChar w:fldCharType="begin"/>
          </w:r>
          <w:r>
            <w:instrText xml:space="preserve"> PAGEREF _Toc3020 \h </w:instrText>
          </w:r>
          <w:r>
            <w:fldChar w:fldCharType="separate"/>
          </w:r>
          <w:r>
            <w:t>56</w:t>
          </w:r>
          <w:r>
            <w:fldChar w:fldCharType="end"/>
          </w:r>
          <w:r>
            <w:fldChar w:fldCharType="end"/>
          </w:r>
        </w:p>
        <w:p w14:paraId="0B9E56DA">
          <w:pPr>
            <w:pStyle w:val="8"/>
            <w:tabs>
              <w:tab w:val="right" w:leader="dot" w:pos="8306"/>
            </w:tabs>
          </w:pPr>
          <w:r>
            <w:fldChar w:fldCharType="begin"/>
          </w:r>
          <w:r>
            <w:instrText xml:space="preserve"> HYPERLINK \l _Toc2799 </w:instrText>
          </w:r>
          <w:r>
            <w:fldChar w:fldCharType="separate"/>
          </w:r>
          <w:r>
            <w:rPr>
              <w:rFonts w:hint="default" w:ascii="Times New Roman" w:hAnsi="Times New Roman" w:eastAsia="方正仿宋_GB18030" w:cs="Times New Roman"/>
              <w:szCs w:val="32"/>
              <w:lang w:val="en-US" w:eastAsia="zh-CN"/>
            </w:rPr>
            <w:t>12.2.3水土保持</w:t>
          </w:r>
          <w:r>
            <w:tab/>
          </w:r>
          <w:r>
            <w:fldChar w:fldCharType="begin"/>
          </w:r>
          <w:r>
            <w:instrText xml:space="preserve"> PAGEREF _Toc2799 \h </w:instrText>
          </w:r>
          <w:r>
            <w:fldChar w:fldCharType="separate"/>
          </w:r>
          <w:r>
            <w:t>56</w:t>
          </w:r>
          <w:r>
            <w:fldChar w:fldCharType="end"/>
          </w:r>
          <w:r>
            <w:fldChar w:fldCharType="end"/>
          </w:r>
        </w:p>
        <w:p w14:paraId="7988DB23">
          <w:pPr>
            <w:pStyle w:val="8"/>
            <w:tabs>
              <w:tab w:val="right" w:leader="dot" w:pos="8306"/>
            </w:tabs>
          </w:pPr>
          <w:r>
            <w:fldChar w:fldCharType="begin"/>
          </w:r>
          <w:r>
            <w:instrText xml:space="preserve"> HYPERLINK \l _Toc5058 </w:instrText>
          </w:r>
          <w:r>
            <w:fldChar w:fldCharType="separate"/>
          </w:r>
          <w:r>
            <w:rPr>
              <w:rFonts w:hint="default" w:ascii="Times New Roman" w:hAnsi="Times New Roman" w:eastAsia="方正仿宋_GB18030" w:cs="Times New Roman"/>
              <w:szCs w:val="32"/>
              <w:lang w:val="en-US" w:eastAsia="zh-CN"/>
            </w:rPr>
            <w:t>12.2.4生态环境影响分析</w:t>
          </w:r>
          <w:r>
            <w:tab/>
          </w:r>
          <w:r>
            <w:fldChar w:fldCharType="begin"/>
          </w:r>
          <w:r>
            <w:instrText xml:space="preserve"> PAGEREF _Toc5058 \h </w:instrText>
          </w:r>
          <w:r>
            <w:fldChar w:fldCharType="separate"/>
          </w:r>
          <w:r>
            <w:t>57</w:t>
          </w:r>
          <w:r>
            <w:fldChar w:fldCharType="end"/>
          </w:r>
          <w:r>
            <w:fldChar w:fldCharType="end"/>
          </w:r>
        </w:p>
        <w:p w14:paraId="6514C828">
          <w:pPr>
            <w:pStyle w:val="13"/>
            <w:tabs>
              <w:tab w:val="right" w:leader="dot" w:pos="8306"/>
            </w:tabs>
          </w:pPr>
          <w:r>
            <w:fldChar w:fldCharType="begin"/>
          </w:r>
          <w:r>
            <w:instrText xml:space="preserve"> HYPERLINK \l _Toc20163 </w:instrText>
          </w:r>
          <w:r>
            <w:fldChar w:fldCharType="separate"/>
          </w:r>
          <w:r>
            <w:rPr>
              <w:rFonts w:hint="default" w:ascii="Times New Roman" w:hAnsi="Times New Roman" w:eastAsia="黑体" w:cs="Times New Roman"/>
              <w:szCs w:val="32"/>
            </w:rPr>
            <w:t>1</w:t>
          </w:r>
          <w:r>
            <w:rPr>
              <w:rFonts w:hint="default" w:ascii="Times New Roman" w:hAnsi="Times New Roman" w:eastAsia="黑体" w:cs="Times New Roman"/>
              <w:szCs w:val="32"/>
              <w:lang w:val="en-US" w:eastAsia="zh-CN"/>
            </w:rPr>
            <w:t>3</w:t>
          </w:r>
          <w:r>
            <w:rPr>
              <w:rFonts w:hint="default" w:ascii="Times New Roman" w:hAnsi="Times New Roman" w:eastAsia="黑体" w:cs="Times New Roman"/>
              <w:szCs w:val="32"/>
            </w:rPr>
            <w:t>.土地利用效益评估</w:t>
          </w:r>
          <w:r>
            <w:tab/>
          </w:r>
          <w:r>
            <w:fldChar w:fldCharType="begin"/>
          </w:r>
          <w:r>
            <w:instrText xml:space="preserve"> PAGEREF _Toc20163 \h </w:instrText>
          </w:r>
          <w:r>
            <w:fldChar w:fldCharType="separate"/>
          </w:r>
          <w:r>
            <w:t>57</w:t>
          </w:r>
          <w:r>
            <w:fldChar w:fldCharType="end"/>
          </w:r>
          <w:r>
            <w:fldChar w:fldCharType="end"/>
          </w:r>
        </w:p>
        <w:p w14:paraId="648A4299">
          <w:pPr>
            <w:pStyle w:val="15"/>
            <w:tabs>
              <w:tab w:val="right" w:leader="dot" w:pos="8306"/>
            </w:tabs>
          </w:pPr>
          <w:r>
            <w:fldChar w:fldCharType="begin"/>
          </w:r>
          <w:r>
            <w:instrText xml:space="preserve"> HYPERLINK \l _Toc9408 </w:instrText>
          </w:r>
          <w:r>
            <w:fldChar w:fldCharType="separate"/>
          </w:r>
          <w:r>
            <w:rPr>
              <w:rFonts w:hint="default" w:ascii="Times New Roman" w:hAnsi="Times New Roman" w:eastAsia="方正楷体_GB2312" w:cs="Times New Roman"/>
            </w:rPr>
            <w:t>1</w:t>
          </w:r>
          <w:r>
            <w:rPr>
              <w:rFonts w:hint="default" w:ascii="Times New Roman" w:hAnsi="Times New Roman" w:eastAsia="方正楷体_GB2312" w:cs="Times New Roman"/>
              <w:lang w:val="en-US" w:eastAsia="zh-CN"/>
            </w:rPr>
            <w:t>3</w:t>
          </w:r>
          <w:r>
            <w:rPr>
              <w:rFonts w:hint="default" w:ascii="Times New Roman" w:hAnsi="Times New Roman" w:eastAsia="方正楷体_GB2312" w:cs="Times New Roman"/>
            </w:rPr>
            <w:t>.1土地利用效益</w:t>
          </w:r>
          <w:r>
            <w:tab/>
          </w:r>
          <w:r>
            <w:fldChar w:fldCharType="begin"/>
          </w:r>
          <w:r>
            <w:instrText xml:space="preserve"> PAGEREF _Toc9408 \h </w:instrText>
          </w:r>
          <w:r>
            <w:fldChar w:fldCharType="separate"/>
          </w:r>
          <w:r>
            <w:t>57</w:t>
          </w:r>
          <w:r>
            <w:fldChar w:fldCharType="end"/>
          </w:r>
          <w:r>
            <w:fldChar w:fldCharType="end"/>
          </w:r>
        </w:p>
        <w:p w14:paraId="44A8F244">
          <w:pPr>
            <w:pStyle w:val="15"/>
            <w:tabs>
              <w:tab w:val="right" w:leader="dot" w:pos="8306"/>
            </w:tabs>
          </w:pPr>
          <w:r>
            <w:fldChar w:fldCharType="begin"/>
          </w:r>
          <w:r>
            <w:instrText xml:space="preserve"> HYPERLINK \l _Toc14204 </w:instrText>
          </w:r>
          <w:r>
            <w:fldChar w:fldCharType="separate"/>
          </w:r>
          <w:r>
            <w:rPr>
              <w:rFonts w:hint="default" w:ascii="Times New Roman" w:hAnsi="Times New Roman" w:eastAsia="方正楷体_GB2312" w:cs="Times New Roman"/>
            </w:rPr>
            <w:t>1</w:t>
          </w:r>
          <w:r>
            <w:rPr>
              <w:rFonts w:hint="default" w:ascii="Times New Roman" w:hAnsi="Times New Roman" w:eastAsia="方正楷体_GB2312" w:cs="Times New Roman"/>
              <w:lang w:val="en-US" w:eastAsia="zh-CN"/>
            </w:rPr>
            <w:t>3</w:t>
          </w:r>
          <w:r>
            <w:rPr>
              <w:rFonts w:hint="default" w:ascii="Times New Roman" w:hAnsi="Times New Roman" w:eastAsia="方正楷体_GB2312" w:cs="Times New Roman"/>
            </w:rPr>
            <w:t>.2经济效益</w:t>
          </w:r>
          <w:r>
            <w:tab/>
          </w:r>
          <w:r>
            <w:fldChar w:fldCharType="begin"/>
          </w:r>
          <w:r>
            <w:instrText xml:space="preserve"> PAGEREF _Toc14204 \h </w:instrText>
          </w:r>
          <w:r>
            <w:fldChar w:fldCharType="separate"/>
          </w:r>
          <w:r>
            <w:t>57</w:t>
          </w:r>
          <w:r>
            <w:fldChar w:fldCharType="end"/>
          </w:r>
          <w:r>
            <w:fldChar w:fldCharType="end"/>
          </w:r>
        </w:p>
        <w:p w14:paraId="0FE86C74">
          <w:pPr>
            <w:pStyle w:val="15"/>
            <w:tabs>
              <w:tab w:val="right" w:leader="dot" w:pos="8306"/>
            </w:tabs>
          </w:pPr>
          <w:r>
            <w:fldChar w:fldCharType="begin"/>
          </w:r>
          <w:r>
            <w:instrText xml:space="preserve"> HYPERLINK \l _Toc1052 </w:instrText>
          </w:r>
          <w:r>
            <w:fldChar w:fldCharType="separate"/>
          </w:r>
          <w:r>
            <w:rPr>
              <w:rFonts w:hint="default" w:ascii="Times New Roman" w:hAnsi="Times New Roman" w:eastAsia="方正楷体_GB2312" w:cs="Times New Roman"/>
            </w:rPr>
            <w:t>1</w:t>
          </w:r>
          <w:r>
            <w:rPr>
              <w:rFonts w:hint="default" w:ascii="Times New Roman" w:hAnsi="Times New Roman" w:eastAsia="方正楷体_GB2312" w:cs="Times New Roman"/>
              <w:lang w:val="en-US" w:eastAsia="zh-CN"/>
            </w:rPr>
            <w:t>3</w:t>
          </w:r>
          <w:r>
            <w:rPr>
              <w:rFonts w:hint="default" w:ascii="Times New Roman" w:hAnsi="Times New Roman" w:eastAsia="方正楷体_GB2312" w:cs="Times New Roman"/>
            </w:rPr>
            <w:t>.3社会效益</w:t>
          </w:r>
          <w:r>
            <w:tab/>
          </w:r>
          <w:r>
            <w:fldChar w:fldCharType="begin"/>
          </w:r>
          <w:r>
            <w:instrText xml:space="preserve"> PAGEREF _Toc1052 \h </w:instrText>
          </w:r>
          <w:r>
            <w:fldChar w:fldCharType="separate"/>
          </w:r>
          <w:r>
            <w:t>58</w:t>
          </w:r>
          <w:r>
            <w:fldChar w:fldCharType="end"/>
          </w:r>
          <w:r>
            <w:fldChar w:fldCharType="end"/>
          </w:r>
        </w:p>
        <w:p w14:paraId="137CAD78">
          <w:pPr>
            <w:pStyle w:val="15"/>
            <w:tabs>
              <w:tab w:val="right" w:leader="dot" w:pos="8306"/>
            </w:tabs>
          </w:pPr>
          <w:r>
            <w:fldChar w:fldCharType="begin"/>
          </w:r>
          <w:r>
            <w:instrText xml:space="preserve"> HYPERLINK \l _Toc1777 </w:instrText>
          </w:r>
          <w:r>
            <w:fldChar w:fldCharType="separate"/>
          </w:r>
          <w:r>
            <w:rPr>
              <w:rFonts w:hint="default" w:ascii="Times New Roman" w:hAnsi="Times New Roman" w:eastAsia="方正楷体_GB2312" w:cs="Times New Roman"/>
            </w:rPr>
            <w:t>1</w:t>
          </w:r>
          <w:r>
            <w:rPr>
              <w:rFonts w:hint="default" w:ascii="Times New Roman" w:hAnsi="Times New Roman" w:eastAsia="方正楷体_GB2312" w:cs="Times New Roman"/>
              <w:lang w:val="en-US" w:eastAsia="zh-CN"/>
            </w:rPr>
            <w:t>3</w:t>
          </w:r>
          <w:r>
            <w:rPr>
              <w:rFonts w:hint="default" w:ascii="Times New Roman" w:hAnsi="Times New Roman" w:eastAsia="方正楷体_GB2312" w:cs="Times New Roman"/>
            </w:rPr>
            <w:t>.4生态效益</w:t>
          </w:r>
          <w:r>
            <w:tab/>
          </w:r>
          <w:r>
            <w:fldChar w:fldCharType="begin"/>
          </w:r>
          <w:r>
            <w:instrText xml:space="preserve"> PAGEREF _Toc1777 \h </w:instrText>
          </w:r>
          <w:r>
            <w:fldChar w:fldCharType="separate"/>
          </w:r>
          <w:r>
            <w:t>58</w:t>
          </w:r>
          <w:r>
            <w:fldChar w:fldCharType="end"/>
          </w:r>
          <w:r>
            <w:fldChar w:fldCharType="end"/>
          </w:r>
        </w:p>
        <w:p w14:paraId="3503502C">
          <w:pPr>
            <w:pStyle w:val="13"/>
            <w:tabs>
              <w:tab w:val="right" w:leader="dot" w:pos="8306"/>
            </w:tabs>
          </w:pPr>
          <w:r>
            <w:fldChar w:fldCharType="begin"/>
          </w:r>
          <w:r>
            <w:instrText xml:space="preserve"> HYPERLINK \l _Toc7878 </w:instrText>
          </w:r>
          <w:r>
            <w:fldChar w:fldCharType="separate"/>
          </w:r>
          <w:r>
            <w:rPr>
              <w:rFonts w:hint="default" w:ascii="Times New Roman" w:hAnsi="Times New Roman" w:eastAsia="黑体" w:cs="Times New Roman"/>
              <w:szCs w:val="32"/>
              <w:lang w:eastAsia="zh-CN"/>
            </w:rPr>
            <w:t>1</w:t>
          </w:r>
          <w:r>
            <w:rPr>
              <w:rFonts w:hint="default" w:ascii="Times New Roman" w:hAnsi="Times New Roman" w:eastAsia="黑体" w:cs="Times New Roman"/>
              <w:szCs w:val="32"/>
              <w:lang w:val="en-US" w:eastAsia="zh-CN"/>
            </w:rPr>
            <w:t>4</w:t>
          </w:r>
          <w:r>
            <w:rPr>
              <w:rFonts w:hint="default" w:ascii="Times New Roman" w:hAnsi="Times New Roman" w:eastAsia="黑体" w:cs="Times New Roman"/>
              <w:szCs w:val="32"/>
            </w:rPr>
            <w:t>.公众参与情况</w:t>
          </w:r>
          <w:r>
            <w:tab/>
          </w:r>
          <w:r>
            <w:fldChar w:fldCharType="begin"/>
          </w:r>
          <w:r>
            <w:instrText xml:space="preserve"> PAGEREF _Toc7878 \h </w:instrText>
          </w:r>
          <w:r>
            <w:fldChar w:fldCharType="separate"/>
          </w:r>
          <w:r>
            <w:t>59</w:t>
          </w:r>
          <w:r>
            <w:fldChar w:fldCharType="end"/>
          </w:r>
          <w:r>
            <w:fldChar w:fldCharType="end"/>
          </w:r>
        </w:p>
        <w:p w14:paraId="504A6509">
          <w:pPr>
            <w:pStyle w:val="15"/>
            <w:tabs>
              <w:tab w:val="right" w:leader="dot" w:pos="8306"/>
            </w:tabs>
          </w:pPr>
          <w:r>
            <w:fldChar w:fldCharType="begin"/>
          </w:r>
          <w:r>
            <w:instrText xml:space="preserve"> HYPERLINK \l _Toc9979 </w:instrText>
          </w:r>
          <w:r>
            <w:fldChar w:fldCharType="separate"/>
          </w:r>
          <w:r>
            <w:rPr>
              <w:rFonts w:hint="default" w:ascii="Times New Roman" w:hAnsi="Times New Roman" w:eastAsia="方正楷体_GB2312" w:cs="Times New Roman"/>
              <w:lang w:eastAsia="zh-CN"/>
            </w:rPr>
            <w:t>1</w:t>
          </w:r>
          <w:r>
            <w:rPr>
              <w:rFonts w:hint="default" w:ascii="Times New Roman" w:hAnsi="Times New Roman" w:eastAsia="方正楷体_GB2312" w:cs="Times New Roman"/>
              <w:lang w:val="en-US" w:eastAsia="zh-CN"/>
            </w:rPr>
            <w:t>4</w:t>
          </w:r>
          <w:r>
            <w:rPr>
              <w:rFonts w:hint="default" w:ascii="Times New Roman" w:hAnsi="Times New Roman" w:eastAsia="方正楷体_GB2312" w:cs="Times New Roman"/>
            </w:rPr>
            <w:t>.1听取人大代表、政协委员、社会公众和有关专家学者意见</w:t>
          </w:r>
          <w:r>
            <w:tab/>
          </w:r>
          <w:r>
            <w:fldChar w:fldCharType="begin"/>
          </w:r>
          <w:r>
            <w:instrText xml:space="preserve"> PAGEREF _Toc9979 \h </w:instrText>
          </w:r>
          <w:r>
            <w:fldChar w:fldCharType="separate"/>
          </w:r>
          <w:r>
            <w:t>59</w:t>
          </w:r>
          <w:r>
            <w:fldChar w:fldCharType="end"/>
          </w:r>
          <w:r>
            <w:fldChar w:fldCharType="end"/>
          </w:r>
        </w:p>
        <w:p w14:paraId="2C75877F">
          <w:pPr>
            <w:pStyle w:val="15"/>
            <w:tabs>
              <w:tab w:val="right" w:leader="dot" w:pos="8306"/>
            </w:tabs>
          </w:pPr>
          <w:r>
            <w:fldChar w:fldCharType="begin"/>
          </w:r>
          <w:r>
            <w:instrText xml:space="preserve"> HYPERLINK \l _Toc19763 </w:instrText>
          </w:r>
          <w:r>
            <w:fldChar w:fldCharType="separate"/>
          </w:r>
          <w:r>
            <w:rPr>
              <w:rFonts w:hint="default" w:ascii="Times New Roman" w:hAnsi="Times New Roman" w:eastAsia="方正楷体_GB2312" w:cs="Times New Roman"/>
              <w:lang w:eastAsia="zh-CN"/>
            </w:rPr>
            <w:t>1</w:t>
          </w:r>
          <w:r>
            <w:rPr>
              <w:rFonts w:hint="default" w:ascii="Times New Roman" w:hAnsi="Times New Roman" w:eastAsia="方正楷体_GB2312" w:cs="Times New Roman"/>
              <w:lang w:val="en-US" w:eastAsia="zh-CN"/>
            </w:rPr>
            <w:t>4</w:t>
          </w:r>
          <w:r>
            <w:rPr>
              <w:rFonts w:hint="default" w:ascii="Times New Roman" w:hAnsi="Times New Roman" w:eastAsia="方正楷体_GB2312" w:cs="Times New Roman"/>
            </w:rPr>
            <w:t>.2征求成片开发范围内农村集体经济组织和农民的意见</w:t>
          </w:r>
          <w:r>
            <w:tab/>
          </w:r>
          <w:r>
            <w:fldChar w:fldCharType="begin"/>
          </w:r>
          <w:r>
            <w:instrText xml:space="preserve"> PAGEREF _Toc19763 \h </w:instrText>
          </w:r>
          <w:r>
            <w:fldChar w:fldCharType="separate"/>
          </w:r>
          <w:r>
            <w:t>59</w:t>
          </w:r>
          <w:r>
            <w:fldChar w:fldCharType="end"/>
          </w:r>
          <w:r>
            <w:fldChar w:fldCharType="end"/>
          </w:r>
        </w:p>
        <w:p w14:paraId="7DD13BDC">
          <w:pPr>
            <w:pStyle w:val="13"/>
            <w:tabs>
              <w:tab w:val="right" w:leader="dot" w:pos="8306"/>
            </w:tabs>
          </w:pPr>
          <w:r>
            <w:fldChar w:fldCharType="begin"/>
          </w:r>
          <w:r>
            <w:instrText xml:space="preserve"> HYPERLINK \l _Toc21556 </w:instrText>
          </w:r>
          <w:r>
            <w:fldChar w:fldCharType="separate"/>
          </w:r>
          <w:r>
            <w:rPr>
              <w:rFonts w:hint="default" w:ascii="Times New Roman" w:hAnsi="Times New Roman" w:eastAsia="黑体" w:cs="Times New Roman"/>
              <w:szCs w:val="32"/>
              <w:lang w:eastAsia="zh-CN"/>
            </w:rPr>
            <w:t>1</w:t>
          </w:r>
          <w:r>
            <w:rPr>
              <w:rFonts w:hint="default" w:ascii="Times New Roman" w:hAnsi="Times New Roman" w:eastAsia="黑体" w:cs="Times New Roman"/>
              <w:szCs w:val="32"/>
              <w:lang w:val="en-US" w:eastAsia="zh-CN"/>
            </w:rPr>
            <w:t>5</w:t>
          </w:r>
          <w:r>
            <w:rPr>
              <w:rFonts w:hint="default" w:ascii="Times New Roman" w:hAnsi="Times New Roman" w:eastAsia="黑体" w:cs="Times New Roman"/>
              <w:szCs w:val="32"/>
            </w:rPr>
            <w:t>.成片开发项目风险分析</w:t>
          </w:r>
          <w:r>
            <w:tab/>
          </w:r>
          <w:r>
            <w:fldChar w:fldCharType="begin"/>
          </w:r>
          <w:r>
            <w:instrText xml:space="preserve"> PAGEREF _Toc21556 \h </w:instrText>
          </w:r>
          <w:r>
            <w:fldChar w:fldCharType="separate"/>
          </w:r>
          <w:r>
            <w:t>60</w:t>
          </w:r>
          <w:r>
            <w:fldChar w:fldCharType="end"/>
          </w:r>
          <w:r>
            <w:fldChar w:fldCharType="end"/>
          </w:r>
        </w:p>
        <w:p w14:paraId="18A5ECE2">
          <w:pPr>
            <w:pStyle w:val="15"/>
            <w:tabs>
              <w:tab w:val="right" w:leader="dot" w:pos="8306"/>
            </w:tabs>
          </w:pPr>
          <w:r>
            <w:fldChar w:fldCharType="begin"/>
          </w:r>
          <w:r>
            <w:instrText xml:space="preserve"> HYPERLINK \l _Toc28582 </w:instrText>
          </w:r>
          <w:r>
            <w:fldChar w:fldCharType="separate"/>
          </w:r>
          <w:r>
            <w:rPr>
              <w:rFonts w:hint="default" w:ascii="Times New Roman" w:hAnsi="Times New Roman" w:eastAsia="方正楷体_GB2312" w:cs="Times New Roman"/>
              <w:lang w:eastAsia="zh-CN"/>
            </w:rPr>
            <w:t>1</w:t>
          </w:r>
          <w:r>
            <w:rPr>
              <w:rFonts w:hint="default" w:ascii="Times New Roman" w:hAnsi="Times New Roman" w:eastAsia="方正楷体_GB2312" w:cs="Times New Roman"/>
              <w:lang w:val="en-US" w:eastAsia="zh-CN"/>
            </w:rPr>
            <w:t>5</w:t>
          </w:r>
          <w:r>
            <w:rPr>
              <w:rFonts w:hint="default" w:ascii="Times New Roman" w:hAnsi="Times New Roman" w:eastAsia="方正楷体_GB2312" w:cs="Times New Roman"/>
            </w:rPr>
            <w:t>.1政策风险</w:t>
          </w:r>
          <w:r>
            <w:tab/>
          </w:r>
          <w:r>
            <w:fldChar w:fldCharType="begin"/>
          </w:r>
          <w:r>
            <w:instrText xml:space="preserve"> PAGEREF _Toc28582 \h </w:instrText>
          </w:r>
          <w:r>
            <w:fldChar w:fldCharType="separate"/>
          </w:r>
          <w:r>
            <w:t>60</w:t>
          </w:r>
          <w:r>
            <w:fldChar w:fldCharType="end"/>
          </w:r>
          <w:r>
            <w:fldChar w:fldCharType="end"/>
          </w:r>
        </w:p>
        <w:p w14:paraId="1B9879E8">
          <w:pPr>
            <w:pStyle w:val="8"/>
            <w:tabs>
              <w:tab w:val="right" w:leader="dot" w:pos="8306"/>
            </w:tabs>
          </w:pPr>
          <w:r>
            <w:fldChar w:fldCharType="begin"/>
          </w:r>
          <w:r>
            <w:instrText xml:space="preserve"> HYPERLINK \l _Toc29598 </w:instrText>
          </w:r>
          <w:r>
            <w:fldChar w:fldCharType="separate"/>
          </w:r>
          <w:r>
            <w:rPr>
              <w:rFonts w:hint="default" w:ascii="Times New Roman" w:hAnsi="Times New Roman" w:eastAsia="方正仿宋_GB18030" w:cs="Times New Roman"/>
              <w:szCs w:val="32"/>
              <w:lang w:val="en-US" w:eastAsia="zh-CN"/>
            </w:rPr>
            <w:t>15.1.1国家政策</w:t>
          </w:r>
          <w:r>
            <w:tab/>
          </w:r>
          <w:r>
            <w:fldChar w:fldCharType="begin"/>
          </w:r>
          <w:r>
            <w:instrText xml:space="preserve"> PAGEREF _Toc29598 \h </w:instrText>
          </w:r>
          <w:r>
            <w:fldChar w:fldCharType="separate"/>
          </w:r>
          <w:r>
            <w:t>60</w:t>
          </w:r>
          <w:r>
            <w:fldChar w:fldCharType="end"/>
          </w:r>
          <w:r>
            <w:fldChar w:fldCharType="end"/>
          </w:r>
        </w:p>
        <w:p w14:paraId="28AF9A2D">
          <w:pPr>
            <w:pStyle w:val="8"/>
            <w:tabs>
              <w:tab w:val="right" w:leader="dot" w:pos="8306"/>
            </w:tabs>
          </w:pPr>
          <w:r>
            <w:fldChar w:fldCharType="begin"/>
          </w:r>
          <w:r>
            <w:instrText xml:space="preserve"> HYPERLINK \l _Toc28094 </w:instrText>
          </w:r>
          <w:r>
            <w:fldChar w:fldCharType="separate"/>
          </w:r>
          <w:r>
            <w:rPr>
              <w:rFonts w:hint="default" w:ascii="Times New Roman" w:hAnsi="Times New Roman" w:eastAsia="方正仿宋_GB18030" w:cs="Times New Roman"/>
              <w:szCs w:val="32"/>
              <w:lang w:val="en-US" w:eastAsia="zh-CN"/>
            </w:rPr>
            <w:t>15.1.2地方政策</w:t>
          </w:r>
          <w:r>
            <w:tab/>
          </w:r>
          <w:r>
            <w:fldChar w:fldCharType="begin"/>
          </w:r>
          <w:r>
            <w:instrText xml:space="preserve"> PAGEREF _Toc28094 \h </w:instrText>
          </w:r>
          <w:r>
            <w:fldChar w:fldCharType="separate"/>
          </w:r>
          <w:r>
            <w:t>60</w:t>
          </w:r>
          <w:r>
            <w:fldChar w:fldCharType="end"/>
          </w:r>
          <w:r>
            <w:fldChar w:fldCharType="end"/>
          </w:r>
        </w:p>
        <w:p w14:paraId="5B4E93CF">
          <w:pPr>
            <w:pStyle w:val="15"/>
            <w:tabs>
              <w:tab w:val="right" w:leader="dot" w:pos="8306"/>
            </w:tabs>
          </w:pPr>
          <w:r>
            <w:fldChar w:fldCharType="begin"/>
          </w:r>
          <w:r>
            <w:instrText xml:space="preserve"> HYPERLINK \l _Toc4728 </w:instrText>
          </w:r>
          <w:r>
            <w:fldChar w:fldCharType="separate"/>
          </w:r>
          <w:r>
            <w:rPr>
              <w:rFonts w:hint="default" w:ascii="Times New Roman" w:hAnsi="Times New Roman" w:eastAsia="方正楷体_GB2312" w:cs="Times New Roman"/>
              <w:lang w:eastAsia="zh-CN"/>
            </w:rPr>
            <w:t>1</w:t>
          </w:r>
          <w:r>
            <w:rPr>
              <w:rFonts w:hint="default" w:ascii="Times New Roman" w:hAnsi="Times New Roman" w:eastAsia="方正楷体_GB2312" w:cs="Times New Roman"/>
              <w:lang w:val="en-US" w:eastAsia="zh-CN"/>
            </w:rPr>
            <w:t>5</w:t>
          </w:r>
          <w:r>
            <w:rPr>
              <w:rFonts w:hint="default" w:ascii="Times New Roman" w:hAnsi="Times New Roman" w:eastAsia="方正楷体_GB2312" w:cs="Times New Roman"/>
            </w:rPr>
            <w:t>.2金融风险</w:t>
          </w:r>
          <w:r>
            <w:tab/>
          </w:r>
          <w:r>
            <w:fldChar w:fldCharType="begin"/>
          </w:r>
          <w:r>
            <w:instrText xml:space="preserve"> PAGEREF _Toc4728 \h </w:instrText>
          </w:r>
          <w:r>
            <w:fldChar w:fldCharType="separate"/>
          </w:r>
          <w:r>
            <w:t>60</w:t>
          </w:r>
          <w:r>
            <w:fldChar w:fldCharType="end"/>
          </w:r>
          <w:r>
            <w:fldChar w:fldCharType="end"/>
          </w:r>
        </w:p>
        <w:p w14:paraId="51360C59">
          <w:pPr>
            <w:pStyle w:val="15"/>
            <w:tabs>
              <w:tab w:val="right" w:leader="dot" w:pos="8306"/>
            </w:tabs>
          </w:pPr>
          <w:r>
            <w:fldChar w:fldCharType="begin"/>
          </w:r>
          <w:r>
            <w:instrText xml:space="preserve"> HYPERLINK \l _Toc15214 </w:instrText>
          </w:r>
          <w:r>
            <w:fldChar w:fldCharType="separate"/>
          </w:r>
          <w:r>
            <w:rPr>
              <w:rFonts w:hint="default" w:ascii="Times New Roman" w:hAnsi="Times New Roman" w:eastAsia="方正楷体_GB2312" w:cs="Times New Roman"/>
              <w:lang w:eastAsia="zh-CN"/>
            </w:rPr>
            <w:t>1</w:t>
          </w:r>
          <w:r>
            <w:rPr>
              <w:rFonts w:hint="default" w:ascii="Times New Roman" w:hAnsi="Times New Roman" w:eastAsia="方正楷体_GB2312" w:cs="Times New Roman"/>
              <w:lang w:val="en-US" w:eastAsia="zh-CN"/>
            </w:rPr>
            <w:t>5</w:t>
          </w:r>
          <w:r>
            <w:rPr>
              <w:rFonts w:hint="default" w:ascii="Times New Roman" w:hAnsi="Times New Roman" w:eastAsia="方正楷体_GB2312" w:cs="Times New Roman"/>
            </w:rPr>
            <w:t>.3开发风险</w:t>
          </w:r>
          <w:r>
            <w:tab/>
          </w:r>
          <w:r>
            <w:fldChar w:fldCharType="begin"/>
          </w:r>
          <w:r>
            <w:instrText xml:space="preserve"> PAGEREF _Toc15214 \h </w:instrText>
          </w:r>
          <w:r>
            <w:fldChar w:fldCharType="separate"/>
          </w:r>
          <w:r>
            <w:t>61</w:t>
          </w:r>
          <w:r>
            <w:fldChar w:fldCharType="end"/>
          </w:r>
          <w:r>
            <w:fldChar w:fldCharType="end"/>
          </w:r>
        </w:p>
        <w:p w14:paraId="1634B54B">
          <w:pPr>
            <w:pStyle w:val="15"/>
            <w:tabs>
              <w:tab w:val="right" w:leader="dot" w:pos="8306"/>
            </w:tabs>
          </w:pPr>
          <w:r>
            <w:fldChar w:fldCharType="begin"/>
          </w:r>
          <w:r>
            <w:instrText xml:space="preserve"> HYPERLINK \l _Toc18894 </w:instrText>
          </w:r>
          <w:r>
            <w:fldChar w:fldCharType="separate"/>
          </w:r>
          <w:r>
            <w:rPr>
              <w:rFonts w:hint="default" w:ascii="Times New Roman" w:hAnsi="Times New Roman" w:eastAsia="方正楷体_GB2312" w:cs="Times New Roman"/>
              <w:lang w:eastAsia="zh-CN"/>
            </w:rPr>
            <w:t>1</w:t>
          </w:r>
          <w:r>
            <w:rPr>
              <w:rFonts w:hint="default" w:ascii="Times New Roman" w:hAnsi="Times New Roman" w:eastAsia="方正楷体_GB2312" w:cs="Times New Roman"/>
              <w:lang w:val="en-US" w:eastAsia="zh-CN"/>
            </w:rPr>
            <w:t>5</w:t>
          </w:r>
          <w:r>
            <w:rPr>
              <w:rFonts w:hint="default" w:ascii="Times New Roman" w:hAnsi="Times New Roman" w:eastAsia="方正楷体_GB2312" w:cs="Times New Roman"/>
            </w:rPr>
            <w:t>.4其他风险</w:t>
          </w:r>
          <w:r>
            <w:tab/>
          </w:r>
          <w:r>
            <w:fldChar w:fldCharType="begin"/>
          </w:r>
          <w:r>
            <w:instrText xml:space="preserve"> PAGEREF _Toc18894 \h </w:instrText>
          </w:r>
          <w:r>
            <w:fldChar w:fldCharType="separate"/>
          </w:r>
          <w:r>
            <w:t>61</w:t>
          </w:r>
          <w:r>
            <w:fldChar w:fldCharType="end"/>
          </w:r>
          <w:r>
            <w:fldChar w:fldCharType="end"/>
          </w:r>
        </w:p>
        <w:p w14:paraId="76257BE9">
          <w:pPr>
            <w:pStyle w:val="13"/>
            <w:tabs>
              <w:tab w:val="right" w:leader="dot" w:pos="8306"/>
            </w:tabs>
          </w:pPr>
          <w:r>
            <w:fldChar w:fldCharType="begin"/>
          </w:r>
          <w:r>
            <w:instrText xml:space="preserve"> HYPERLINK \l _Toc22225 </w:instrText>
          </w:r>
          <w:r>
            <w:fldChar w:fldCharType="separate"/>
          </w:r>
          <w:r>
            <w:rPr>
              <w:rFonts w:hint="default" w:ascii="Times New Roman" w:hAnsi="Times New Roman" w:eastAsia="黑体" w:cs="Times New Roman"/>
              <w:szCs w:val="32"/>
              <w:lang w:eastAsia="zh-CN"/>
            </w:rPr>
            <w:t>1</w:t>
          </w:r>
          <w:r>
            <w:rPr>
              <w:rFonts w:hint="default" w:ascii="Times New Roman" w:hAnsi="Times New Roman" w:eastAsia="黑体" w:cs="Times New Roman"/>
              <w:szCs w:val="32"/>
              <w:lang w:val="en-US" w:eastAsia="zh-CN"/>
            </w:rPr>
            <w:t>6</w:t>
          </w:r>
          <w:r>
            <w:rPr>
              <w:rFonts w:hint="default" w:ascii="Times New Roman" w:hAnsi="Times New Roman" w:eastAsia="黑体" w:cs="Times New Roman"/>
              <w:szCs w:val="32"/>
            </w:rPr>
            <w:t>.成片开发方案的保障措施</w:t>
          </w:r>
          <w:r>
            <w:tab/>
          </w:r>
          <w:r>
            <w:fldChar w:fldCharType="begin"/>
          </w:r>
          <w:r>
            <w:instrText xml:space="preserve"> PAGEREF _Toc22225 \h </w:instrText>
          </w:r>
          <w:r>
            <w:fldChar w:fldCharType="separate"/>
          </w:r>
          <w:r>
            <w:t>63</w:t>
          </w:r>
          <w:r>
            <w:fldChar w:fldCharType="end"/>
          </w:r>
          <w:r>
            <w:fldChar w:fldCharType="end"/>
          </w:r>
        </w:p>
        <w:p w14:paraId="63D518AB">
          <w:pPr>
            <w:pStyle w:val="15"/>
            <w:tabs>
              <w:tab w:val="right" w:leader="dot" w:pos="8306"/>
            </w:tabs>
          </w:pPr>
          <w:r>
            <w:fldChar w:fldCharType="begin"/>
          </w:r>
          <w:r>
            <w:instrText xml:space="preserve"> HYPERLINK \l _Toc19343 </w:instrText>
          </w:r>
          <w:r>
            <w:fldChar w:fldCharType="separate"/>
          </w:r>
          <w:r>
            <w:rPr>
              <w:rFonts w:hint="default" w:ascii="Times New Roman" w:hAnsi="Times New Roman" w:eastAsia="方正楷体_GB2312" w:cs="Times New Roman"/>
              <w:lang w:eastAsia="zh-CN"/>
            </w:rPr>
            <w:t>1</w:t>
          </w:r>
          <w:r>
            <w:rPr>
              <w:rFonts w:hint="default" w:ascii="Times New Roman" w:hAnsi="Times New Roman" w:eastAsia="方正楷体_GB2312" w:cs="Times New Roman"/>
              <w:lang w:val="en-US" w:eastAsia="zh-CN"/>
            </w:rPr>
            <w:t>6</w:t>
          </w:r>
          <w:r>
            <w:rPr>
              <w:rFonts w:hint="default" w:ascii="Times New Roman" w:hAnsi="Times New Roman" w:eastAsia="方正楷体_GB2312" w:cs="Times New Roman"/>
            </w:rPr>
            <w:t>.1落实被征地群众安置补偿、维护群众利益的措施</w:t>
          </w:r>
          <w:r>
            <w:tab/>
          </w:r>
          <w:r>
            <w:fldChar w:fldCharType="begin"/>
          </w:r>
          <w:r>
            <w:instrText xml:space="preserve"> PAGEREF _Toc19343 \h </w:instrText>
          </w:r>
          <w:r>
            <w:fldChar w:fldCharType="separate"/>
          </w:r>
          <w:r>
            <w:t>63</w:t>
          </w:r>
          <w:r>
            <w:fldChar w:fldCharType="end"/>
          </w:r>
          <w:r>
            <w:fldChar w:fldCharType="end"/>
          </w:r>
        </w:p>
        <w:p w14:paraId="4583E6BD">
          <w:pPr>
            <w:pStyle w:val="8"/>
            <w:tabs>
              <w:tab w:val="right" w:leader="dot" w:pos="8306"/>
            </w:tabs>
          </w:pPr>
          <w:r>
            <w:fldChar w:fldCharType="begin"/>
          </w:r>
          <w:r>
            <w:instrText xml:space="preserve"> HYPERLINK \l _Toc3442 </w:instrText>
          </w:r>
          <w:r>
            <w:fldChar w:fldCharType="separate"/>
          </w:r>
          <w:r>
            <w:rPr>
              <w:rFonts w:hint="default" w:ascii="Times New Roman" w:hAnsi="Times New Roman" w:eastAsia="方正仿宋_GB18030" w:cs="Times New Roman"/>
              <w:szCs w:val="32"/>
              <w:lang w:val="en-US" w:eastAsia="zh-CN"/>
            </w:rPr>
            <w:t>16.1.1征地补偿标准</w:t>
          </w:r>
          <w:r>
            <w:tab/>
          </w:r>
          <w:r>
            <w:fldChar w:fldCharType="begin"/>
          </w:r>
          <w:r>
            <w:instrText xml:space="preserve"> PAGEREF _Toc3442 \h </w:instrText>
          </w:r>
          <w:r>
            <w:fldChar w:fldCharType="separate"/>
          </w:r>
          <w:r>
            <w:t>63</w:t>
          </w:r>
          <w:r>
            <w:fldChar w:fldCharType="end"/>
          </w:r>
          <w:r>
            <w:fldChar w:fldCharType="end"/>
          </w:r>
        </w:p>
        <w:p w14:paraId="741AF85B">
          <w:pPr>
            <w:pStyle w:val="8"/>
            <w:tabs>
              <w:tab w:val="right" w:leader="dot" w:pos="8306"/>
            </w:tabs>
          </w:pPr>
          <w:r>
            <w:fldChar w:fldCharType="begin"/>
          </w:r>
          <w:r>
            <w:instrText xml:space="preserve"> HYPERLINK \l _Toc19744 </w:instrText>
          </w:r>
          <w:r>
            <w:fldChar w:fldCharType="separate"/>
          </w:r>
          <w:r>
            <w:rPr>
              <w:rFonts w:hint="default" w:ascii="Times New Roman" w:hAnsi="Times New Roman" w:eastAsia="方正仿宋_GB18030" w:cs="Times New Roman"/>
              <w:szCs w:val="32"/>
              <w:lang w:val="en-US" w:eastAsia="zh-CN"/>
            </w:rPr>
            <w:t>16.1.2征地安置</w:t>
          </w:r>
          <w:r>
            <w:tab/>
          </w:r>
          <w:r>
            <w:fldChar w:fldCharType="begin"/>
          </w:r>
          <w:r>
            <w:instrText xml:space="preserve"> PAGEREF _Toc19744 \h </w:instrText>
          </w:r>
          <w:r>
            <w:fldChar w:fldCharType="separate"/>
          </w:r>
          <w:r>
            <w:t>64</w:t>
          </w:r>
          <w:r>
            <w:fldChar w:fldCharType="end"/>
          </w:r>
          <w:r>
            <w:fldChar w:fldCharType="end"/>
          </w:r>
        </w:p>
        <w:p w14:paraId="79953C8A">
          <w:pPr>
            <w:pStyle w:val="8"/>
            <w:tabs>
              <w:tab w:val="right" w:leader="dot" w:pos="8306"/>
            </w:tabs>
          </w:pPr>
          <w:r>
            <w:fldChar w:fldCharType="begin"/>
          </w:r>
          <w:r>
            <w:instrText xml:space="preserve"> HYPERLINK \l _Toc3330 </w:instrText>
          </w:r>
          <w:r>
            <w:fldChar w:fldCharType="separate"/>
          </w:r>
          <w:r>
            <w:rPr>
              <w:rFonts w:hint="default" w:ascii="Times New Roman" w:hAnsi="Times New Roman" w:eastAsia="方正仿宋_GB18030" w:cs="Times New Roman"/>
              <w:szCs w:val="32"/>
              <w:lang w:val="en-US" w:eastAsia="zh-CN"/>
            </w:rPr>
            <w:t>16.1.3征地程序</w:t>
          </w:r>
          <w:r>
            <w:tab/>
          </w:r>
          <w:r>
            <w:fldChar w:fldCharType="begin"/>
          </w:r>
          <w:r>
            <w:instrText xml:space="preserve"> PAGEREF _Toc3330 \h </w:instrText>
          </w:r>
          <w:r>
            <w:fldChar w:fldCharType="separate"/>
          </w:r>
          <w:r>
            <w:t>64</w:t>
          </w:r>
          <w:r>
            <w:fldChar w:fldCharType="end"/>
          </w:r>
          <w:r>
            <w:fldChar w:fldCharType="end"/>
          </w:r>
        </w:p>
        <w:p w14:paraId="273D93E2">
          <w:pPr>
            <w:pStyle w:val="15"/>
            <w:tabs>
              <w:tab w:val="right" w:leader="dot" w:pos="8306"/>
            </w:tabs>
          </w:pPr>
          <w:r>
            <w:fldChar w:fldCharType="begin"/>
          </w:r>
          <w:r>
            <w:instrText xml:space="preserve"> HYPERLINK \l _Toc25548 </w:instrText>
          </w:r>
          <w:r>
            <w:fldChar w:fldCharType="separate"/>
          </w:r>
          <w:r>
            <w:rPr>
              <w:rFonts w:hint="default" w:ascii="Times New Roman" w:hAnsi="Times New Roman" w:eastAsia="方正楷体_GB2312" w:cs="Times New Roman"/>
              <w:lang w:eastAsia="zh-CN"/>
            </w:rPr>
            <w:t>1</w:t>
          </w:r>
          <w:r>
            <w:rPr>
              <w:rFonts w:hint="default" w:ascii="Times New Roman" w:hAnsi="Times New Roman" w:eastAsia="方正楷体_GB2312" w:cs="Times New Roman"/>
              <w:lang w:val="en-US" w:eastAsia="zh-CN"/>
            </w:rPr>
            <w:t>6</w:t>
          </w:r>
          <w:r>
            <w:rPr>
              <w:rFonts w:hint="default" w:ascii="Times New Roman" w:hAnsi="Times New Roman" w:eastAsia="方正楷体_GB2312" w:cs="Times New Roman"/>
            </w:rPr>
            <w:t>.</w:t>
          </w:r>
          <w:r>
            <w:rPr>
              <w:rFonts w:hint="default" w:ascii="Times New Roman" w:hAnsi="Times New Roman" w:eastAsia="方正楷体_GB2312" w:cs="Times New Roman"/>
              <w:lang w:val="en-US" w:eastAsia="zh-CN"/>
            </w:rPr>
            <w:t>2</w:t>
          </w:r>
          <w:r>
            <w:rPr>
              <w:rFonts w:hint="default" w:ascii="Times New Roman" w:hAnsi="Times New Roman" w:eastAsia="方正楷体_GB2312" w:cs="Times New Roman"/>
            </w:rPr>
            <w:t>组织保障</w:t>
          </w:r>
          <w:r>
            <w:tab/>
          </w:r>
          <w:r>
            <w:fldChar w:fldCharType="begin"/>
          </w:r>
          <w:r>
            <w:instrText xml:space="preserve"> PAGEREF _Toc25548 \h </w:instrText>
          </w:r>
          <w:r>
            <w:fldChar w:fldCharType="separate"/>
          </w:r>
          <w:r>
            <w:t>64</w:t>
          </w:r>
          <w:r>
            <w:fldChar w:fldCharType="end"/>
          </w:r>
          <w:r>
            <w:fldChar w:fldCharType="end"/>
          </w:r>
        </w:p>
        <w:p w14:paraId="7629BCFB">
          <w:pPr>
            <w:pStyle w:val="15"/>
            <w:tabs>
              <w:tab w:val="right" w:leader="dot" w:pos="8306"/>
            </w:tabs>
          </w:pPr>
          <w:r>
            <w:fldChar w:fldCharType="begin"/>
          </w:r>
          <w:r>
            <w:instrText xml:space="preserve"> HYPERLINK \l _Toc8850 </w:instrText>
          </w:r>
          <w:r>
            <w:fldChar w:fldCharType="separate"/>
          </w:r>
          <w:r>
            <w:rPr>
              <w:rFonts w:hint="default" w:ascii="Times New Roman" w:hAnsi="Times New Roman" w:eastAsia="方正楷体_GB2312" w:cs="Times New Roman"/>
              <w:lang w:eastAsia="zh-CN"/>
            </w:rPr>
            <w:t>1</w:t>
          </w:r>
          <w:r>
            <w:rPr>
              <w:rFonts w:hint="default" w:ascii="Times New Roman" w:hAnsi="Times New Roman" w:eastAsia="方正楷体_GB2312" w:cs="Times New Roman"/>
              <w:lang w:val="en-US" w:eastAsia="zh-CN"/>
            </w:rPr>
            <w:t>6</w:t>
          </w:r>
          <w:r>
            <w:rPr>
              <w:rFonts w:hint="default" w:ascii="Times New Roman" w:hAnsi="Times New Roman" w:eastAsia="方正楷体_GB2312" w:cs="Times New Roman"/>
            </w:rPr>
            <w:t>.</w:t>
          </w:r>
          <w:r>
            <w:rPr>
              <w:rFonts w:hint="default" w:ascii="Times New Roman" w:hAnsi="Times New Roman" w:eastAsia="方正楷体_GB2312" w:cs="Times New Roman"/>
              <w:lang w:val="en-US" w:eastAsia="zh-CN"/>
            </w:rPr>
            <w:t>3</w:t>
          </w:r>
          <w:r>
            <w:rPr>
              <w:rFonts w:hint="default" w:ascii="Times New Roman" w:hAnsi="Times New Roman" w:eastAsia="方正楷体_GB2312" w:cs="Times New Roman"/>
            </w:rPr>
            <w:t>经济保障</w:t>
          </w:r>
          <w:r>
            <w:tab/>
          </w:r>
          <w:r>
            <w:fldChar w:fldCharType="begin"/>
          </w:r>
          <w:r>
            <w:instrText xml:space="preserve"> PAGEREF _Toc8850 \h </w:instrText>
          </w:r>
          <w:r>
            <w:fldChar w:fldCharType="separate"/>
          </w:r>
          <w:r>
            <w:t>65</w:t>
          </w:r>
          <w:r>
            <w:fldChar w:fldCharType="end"/>
          </w:r>
          <w:r>
            <w:fldChar w:fldCharType="end"/>
          </w:r>
        </w:p>
        <w:p w14:paraId="050824FE">
          <w:pPr>
            <w:pStyle w:val="13"/>
            <w:tabs>
              <w:tab w:val="right" w:leader="dot" w:pos="8306"/>
            </w:tabs>
          </w:pPr>
          <w:r>
            <w:fldChar w:fldCharType="begin"/>
          </w:r>
          <w:r>
            <w:instrText xml:space="preserve"> HYPERLINK \l _Toc18821 </w:instrText>
          </w:r>
          <w:r>
            <w:fldChar w:fldCharType="separate"/>
          </w:r>
          <w:r>
            <w:rPr>
              <w:rFonts w:hint="default" w:ascii="Times New Roman" w:hAnsi="Times New Roman" w:eastAsia="黑体" w:cs="Times New Roman"/>
              <w:szCs w:val="32"/>
            </w:rPr>
            <w:t>1</w:t>
          </w:r>
          <w:r>
            <w:rPr>
              <w:rFonts w:hint="default" w:ascii="Times New Roman" w:hAnsi="Times New Roman" w:eastAsia="黑体" w:cs="Times New Roman"/>
              <w:szCs w:val="32"/>
              <w:lang w:val="en-US" w:eastAsia="zh-CN"/>
            </w:rPr>
            <w:t>7</w:t>
          </w:r>
          <w:r>
            <w:rPr>
              <w:rFonts w:hint="default" w:ascii="Times New Roman" w:hAnsi="Times New Roman" w:eastAsia="黑体" w:cs="Times New Roman"/>
              <w:szCs w:val="32"/>
            </w:rPr>
            <w:t>.结论</w:t>
          </w:r>
          <w:r>
            <w:tab/>
          </w:r>
          <w:r>
            <w:fldChar w:fldCharType="begin"/>
          </w:r>
          <w:r>
            <w:instrText xml:space="preserve"> PAGEREF _Toc18821 \h </w:instrText>
          </w:r>
          <w:r>
            <w:fldChar w:fldCharType="separate"/>
          </w:r>
          <w:r>
            <w:t>66</w:t>
          </w:r>
          <w:r>
            <w:fldChar w:fldCharType="end"/>
          </w:r>
          <w:r>
            <w:fldChar w:fldCharType="end"/>
          </w:r>
        </w:p>
        <w:p w14:paraId="7AD1B4A2">
          <w:pPr>
            <w:pStyle w:val="13"/>
            <w:tabs>
              <w:tab w:val="right" w:leader="dot" w:pos="8306"/>
            </w:tabs>
          </w:pPr>
          <w:r>
            <w:fldChar w:fldCharType="begin"/>
          </w:r>
          <w:r>
            <w:instrText xml:space="preserve"> HYPERLINK \l _Toc25803 </w:instrText>
          </w:r>
          <w:r>
            <w:fldChar w:fldCharType="separate"/>
          </w:r>
          <w:r>
            <w:rPr>
              <w:rFonts w:hint="default" w:ascii="Times New Roman" w:hAnsi="Times New Roman" w:eastAsia="黑体" w:cs="Times New Roman"/>
              <w:szCs w:val="32"/>
            </w:rPr>
            <w:t>1</w:t>
          </w:r>
          <w:r>
            <w:rPr>
              <w:rFonts w:hint="default" w:ascii="Times New Roman" w:hAnsi="Times New Roman" w:eastAsia="黑体" w:cs="Times New Roman"/>
              <w:szCs w:val="32"/>
              <w:lang w:val="en-US" w:eastAsia="zh-CN"/>
            </w:rPr>
            <w:t>8</w:t>
          </w:r>
          <w:r>
            <w:rPr>
              <w:rFonts w:hint="default" w:ascii="Times New Roman" w:hAnsi="Times New Roman" w:eastAsia="黑体" w:cs="Times New Roman"/>
              <w:szCs w:val="32"/>
            </w:rPr>
            <w:t>.附表</w:t>
          </w:r>
          <w:r>
            <w:tab/>
          </w:r>
          <w:r>
            <w:fldChar w:fldCharType="begin"/>
          </w:r>
          <w:r>
            <w:instrText xml:space="preserve"> PAGEREF _Toc25803 \h </w:instrText>
          </w:r>
          <w:r>
            <w:fldChar w:fldCharType="separate"/>
          </w:r>
          <w:r>
            <w:t>67</w:t>
          </w:r>
          <w:r>
            <w:fldChar w:fldCharType="end"/>
          </w:r>
          <w:r>
            <w:fldChar w:fldCharType="end"/>
          </w:r>
        </w:p>
        <w:p w14:paraId="6A412DA8">
          <w:pPr>
            <w:pStyle w:val="13"/>
            <w:tabs>
              <w:tab w:val="right" w:leader="dot" w:pos="8306"/>
            </w:tabs>
          </w:pPr>
          <w:r>
            <w:fldChar w:fldCharType="begin"/>
          </w:r>
          <w:r>
            <w:instrText xml:space="preserve"> HYPERLINK \l _Toc29901 </w:instrText>
          </w:r>
          <w:r>
            <w:fldChar w:fldCharType="separate"/>
          </w:r>
          <w:r>
            <w:rPr>
              <w:rFonts w:hint="default" w:ascii="Times New Roman" w:hAnsi="Times New Roman" w:eastAsia="黑体" w:cs="Times New Roman"/>
              <w:szCs w:val="32"/>
            </w:rPr>
            <w:t>1</w:t>
          </w:r>
          <w:r>
            <w:rPr>
              <w:rFonts w:hint="eastAsia" w:ascii="Times New Roman" w:hAnsi="Times New Roman" w:eastAsia="黑体" w:cs="Times New Roman"/>
              <w:szCs w:val="32"/>
              <w:lang w:val="en-US" w:eastAsia="zh-CN"/>
            </w:rPr>
            <w:t>9</w:t>
          </w:r>
          <w:r>
            <w:rPr>
              <w:rFonts w:hint="default" w:ascii="Times New Roman" w:hAnsi="Times New Roman" w:eastAsia="黑体" w:cs="Times New Roman"/>
              <w:szCs w:val="32"/>
            </w:rPr>
            <w:t>.附</w:t>
          </w:r>
          <w:r>
            <w:rPr>
              <w:rFonts w:hint="eastAsia" w:ascii="Times New Roman" w:hAnsi="Times New Roman" w:eastAsia="黑体" w:cs="Times New Roman"/>
              <w:szCs w:val="32"/>
              <w:lang w:val="en-US" w:eastAsia="zh-CN"/>
            </w:rPr>
            <w:t>图</w:t>
          </w:r>
          <w:r>
            <w:tab/>
          </w:r>
          <w:r>
            <w:fldChar w:fldCharType="begin"/>
          </w:r>
          <w:r>
            <w:instrText xml:space="preserve"> PAGEREF _Toc29901 \h </w:instrText>
          </w:r>
          <w:r>
            <w:fldChar w:fldCharType="separate"/>
          </w:r>
          <w:r>
            <w:t>68</w:t>
          </w:r>
          <w:r>
            <w:fldChar w:fldCharType="end"/>
          </w:r>
          <w:r>
            <w:fldChar w:fldCharType="end"/>
          </w:r>
        </w:p>
        <w:p w14:paraId="0C98DD87">
          <w:r>
            <w:fldChar w:fldCharType="end"/>
          </w:r>
        </w:p>
      </w:sdtContent>
    </w:sdt>
    <w:p w14:paraId="2684EA3D">
      <w:pPr>
        <w:pStyle w:val="13"/>
        <w:tabs>
          <w:tab w:val="right" w:leader="dot" w:pos="8306"/>
        </w:tabs>
        <w:rPr>
          <w:rFonts w:hint="default" w:ascii="Times New Roman" w:hAnsi="Times New Roman" w:eastAsia="方正仿宋_GB18030" w:cs="Times New Roman"/>
          <w:sz w:val="28"/>
          <w:szCs w:val="28"/>
        </w:rPr>
      </w:pPr>
    </w:p>
    <w:p w14:paraId="2E268E44">
      <w:pPr>
        <w:pStyle w:val="2"/>
        <w:spacing w:line="360" w:lineRule="auto"/>
        <w:rPr>
          <w:rFonts w:hint="default" w:ascii="Times New Roman" w:hAnsi="Times New Roman" w:cs="Times New Roman"/>
          <w:sz w:val="24"/>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14:paraId="21F3CF58">
      <w:pPr>
        <w:pStyle w:val="2"/>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default" w:ascii="Times New Roman" w:hAnsi="Times New Roman" w:eastAsia="黑体" w:cs="Times New Roman"/>
          <w:sz w:val="32"/>
          <w:szCs w:val="32"/>
        </w:rPr>
      </w:pPr>
      <w:bookmarkStart w:id="2" w:name="_Toc22984"/>
      <w:bookmarkStart w:id="3" w:name="_Toc3504"/>
      <w:r>
        <w:rPr>
          <w:rFonts w:hint="default" w:ascii="Times New Roman" w:hAnsi="Times New Roman" w:eastAsia="黑体" w:cs="Times New Roman"/>
          <w:sz w:val="32"/>
          <w:szCs w:val="32"/>
        </w:rPr>
        <w:t>前  言</w:t>
      </w:r>
      <w:bookmarkEnd w:id="0"/>
      <w:bookmarkEnd w:id="1"/>
      <w:bookmarkEnd w:id="2"/>
      <w:bookmarkEnd w:id="3"/>
    </w:p>
    <w:p w14:paraId="10CBE2F4">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根据2020年1月1日起实施的《中华人民共和国土地管理法》第四十五条“为了公共利益的需要，符合6条情形之一的，在</w:t>
      </w:r>
      <w:r>
        <w:rPr>
          <w:rFonts w:hint="eastAsia" w:ascii="Times New Roman" w:hAnsi="Times New Roman" w:eastAsia="仿宋" w:cs="Times New Roman"/>
          <w:color w:val="333333"/>
          <w:spacing w:val="8"/>
          <w:sz w:val="32"/>
          <w:szCs w:val="32"/>
          <w:lang w:val="en-US" w:eastAsia="zh-CN"/>
        </w:rPr>
        <w:t>国土空间</w:t>
      </w:r>
      <w:r>
        <w:rPr>
          <w:rFonts w:hint="default" w:ascii="Times New Roman" w:hAnsi="Times New Roman" w:eastAsia="仿宋" w:cs="Times New Roman"/>
          <w:color w:val="333333"/>
          <w:spacing w:val="8"/>
          <w:sz w:val="32"/>
          <w:szCs w:val="32"/>
          <w:lang w:eastAsia="zh-CN"/>
        </w:rPr>
        <w:t>总体规划确定的城镇建设用地范围内，经省级人民政府批准由县级以上地方人民政府组织实施的成片开发建设需要的用地，可以依法实施征收农民集体所有的土地”的规定</w:t>
      </w:r>
      <w:r>
        <w:rPr>
          <w:rFonts w:hint="default" w:ascii="Times New Roman" w:hAnsi="Times New Roman" w:eastAsia="仿宋" w:cs="Times New Roman"/>
          <w:color w:val="333333"/>
          <w:spacing w:val="8"/>
          <w:sz w:val="32"/>
          <w:szCs w:val="32"/>
          <w:lang w:val="zh-CN" w:eastAsia="zh-CN"/>
        </w:rPr>
        <w:t>，按照《土地征收成片开发标准》（自然资规〔2023〕7号）等相关政策文件，结合</w:t>
      </w:r>
      <w:r>
        <w:rPr>
          <w:rFonts w:hint="eastAsia" w:ascii="Times New Roman" w:hAnsi="Times New Roman" w:eastAsia="仿宋" w:cs="Times New Roman"/>
          <w:color w:val="333333"/>
          <w:spacing w:val="8"/>
          <w:sz w:val="32"/>
          <w:szCs w:val="32"/>
          <w:lang w:val="zh-CN" w:eastAsia="zh-CN"/>
        </w:rPr>
        <w:t>鸡东县</w:t>
      </w:r>
      <w:r>
        <w:rPr>
          <w:rFonts w:hint="default" w:ascii="Times New Roman" w:hAnsi="Times New Roman" w:eastAsia="仿宋" w:cs="Times New Roman"/>
          <w:color w:val="333333"/>
          <w:spacing w:val="8"/>
          <w:sz w:val="32"/>
          <w:szCs w:val="32"/>
          <w:lang w:val="zh-CN" w:eastAsia="zh-CN"/>
        </w:rPr>
        <w:t>国民经济和社会发展规划及《</w:t>
      </w:r>
      <w:r>
        <w:rPr>
          <w:rFonts w:hint="eastAsia" w:ascii="Times New Roman" w:hAnsi="Times New Roman" w:eastAsia="仿宋" w:cs="Times New Roman"/>
          <w:color w:val="333333"/>
          <w:spacing w:val="8"/>
          <w:sz w:val="32"/>
          <w:szCs w:val="32"/>
          <w:lang w:val="zh-CN" w:eastAsia="zh-CN"/>
        </w:rPr>
        <w:t>鸡东县</w:t>
      </w:r>
      <w:r>
        <w:rPr>
          <w:rFonts w:hint="default" w:ascii="Times New Roman" w:hAnsi="Times New Roman" w:eastAsia="仿宋" w:cs="Times New Roman"/>
          <w:color w:val="333333"/>
          <w:spacing w:val="8"/>
          <w:sz w:val="32"/>
          <w:szCs w:val="32"/>
          <w:lang w:val="zh-CN" w:eastAsia="zh-CN"/>
        </w:rPr>
        <w:t>国土空间总体规划》（2021-2035年），由</w:t>
      </w:r>
      <w:r>
        <w:rPr>
          <w:rFonts w:hint="eastAsia" w:ascii="Times New Roman" w:hAnsi="Times New Roman" w:eastAsia="仿宋" w:cs="Times New Roman"/>
          <w:color w:val="333333"/>
          <w:spacing w:val="8"/>
          <w:sz w:val="32"/>
          <w:szCs w:val="32"/>
          <w:lang w:val="zh-CN" w:eastAsia="zh-CN"/>
        </w:rPr>
        <w:t>鸡东县</w:t>
      </w:r>
      <w:r>
        <w:rPr>
          <w:rFonts w:hint="default" w:ascii="Times New Roman" w:hAnsi="Times New Roman" w:eastAsia="仿宋" w:cs="Times New Roman"/>
          <w:color w:val="333333"/>
          <w:spacing w:val="8"/>
          <w:sz w:val="32"/>
          <w:szCs w:val="32"/>
          <w:lang w:val="zh-CN" w:eastAsia="zh-CN"/>
        </w:rPr>
        <w:t>人民政府组织</w:t>
      </w:r>
      <w:r>
        <w:rPr>
          <w:rFonts w:hint="default" w:ascii="Times New Roman" w:hAnsi="Times New Roman" w:eastAsia="仿宋" w:cs="Times New Roman"/>
          <w:color w:val="333333"/>
          <w:spacing w:val="8"/>
          <w:sz w:val="32"/>
          <w:szCs w:val="32"/>
          <w:lang w:eastAsia="zh-CN"/>
        </w:rPr>
        <w:t>编制《</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2025年度土地征收成片开发方案》，</w:t>
      </w:r>
      <w:r>
        <w:rPr>
          <w:rFonts w:hint="eastAsia" w:ascii="Times New Roman" w:hAnsi="Times New Roman" w:eastAsia="仿宋" w:cs="Times New Roman"/>
          <w:color w:val="333333"/>
          <w:spacing w:val="8"/>
          <w:sz w:val="32"/>
          <w:szCs w:val="32"/>
          <w:lang w:val="en-US" w:eastAsia="zh-CN"/>
        </w:rPr>
        <w:t>向</w:t>
      </w:r>
      <w:r>
        <w:rPr>
          <w:rFonts w:hint="default" w:ascii="Times New Roman" w:hAnsi="Times New Roman" w:eastAsia="仿宋" w:cs="Times New Roman"/>
          <w:color w:val="333333"/>
          <w:spacing w:val="8"/>
          <w:sz w:val="32"/>
          <w:szCs w:val="32"/>
          <w:lang w:eastAsia="zh-CN"/>
        </w:rPr>
        <w:t>相关部门及群众</w:t>
      </w:r>
      <w:r>
        <w:rPr>
          <w:rFonts w:hint="eastAsia" w:ascii="Times New Roman" w:hAnsi="Times New Roman" w:eastAsia="仿宋" w:cs="Times New Roman"/>
          <w:color w:val="333333"/>
          <w:spacing w:val="8"/>
          <w:sz w:val="32"/>
          <w:szCs w:val="32"/>
          <w:lang w:val="en-US" w:eastAsia="zh-CN"/>
        </w:rPr>
        <w:t>征求</w:t>
      </w:r>
      <w:r>
        <w:rPr>
          <w:rFonts w:hint="default" w:ascii="Times New Roman" w:hAnsi="Times New Roman" w:eastAsia="仿宋" w:cs="Times New Roman"/>
          <w:color w:val="333333"/>
          <w:spacing w:val="8"/>
          <w:sz w:val="32"/>
          <w:szCs w:val="32"/>
          <w:lang w:eastAsia="zh-CN"/>
        </w:rPr>
        <w:t>成片开发方案的意见。</w:t>
      </w:r>
    </w:p>
    <w:p w14:paraId="2453213A">
      <w:pPr>
        <w:keepNext w:val="0"/>
        <w:keepLines w:val="0"/>
        <w:pageBreakBefore w:val="0"/>
        <w:widowControl/>
        <w:suppressLineNumbers w:val="0"/>
        <w:kinsoku/>
        <w:wordWrap/>
        <w:overflowPunct/>
        <w:topLinePunct w:val="0"/>
        <w:autoSpaceDE/>
        <w:autoSpaceDN/>
        <w:bidi w:val="0"/>
        <w:adjustRightInd/>
        <w:snapToGrid/>
        <w:ind w:firstLine="672" w:firstLineChars="200"/>
        <w:jc w:val="left"/>
        <w:textAlignment w:val="auto"/>
        <w:rPr>
          <w:rFonts w:hint="default" w:ascii="Times New Roman" w:hAnsi="Times New Roman" w:eastAsia="仿宋" w:cs="Times New Roman"/>
          <w:color w:val="333333"/>
          <w:spacing w:val="8"/>
          <w:sz w:val="32"/>
          <w:szCs w:val="32"/>
          <w:highlight w:val="none"/>
          <w:lang w:val="zh-CN" w:eastAsia="zh-CN"/>
        </w:rPr>
      </w:pPr>
      <w:r>
        <w:rPr>
          <w:rFonts w:hint="eastAsia" w:ascii="Times New Roman" w:hAnsi="Times New Roman" w:eastAsia="仿宋" w:cs="Times New Roman"/>
          <w:color w:val="333333"/>
          <w:spacing w:val="8"/>
          <w:sz w:val="32"/>
          <w:szCs w:val="32"/>
          <w:highlight w:val="none"/>
          <w:lang w:val="zh-CN" w:eastAsia="zh-CN"/>
        </w:rPr>
        <w:t>鸡东县</w:t>
      </w:r>
      <w:r>
        <w:rPr>
          <w:rFonts w:hint="default" w:ascii="Times New Roman" w:hAnsi="Times New Roman" w:eastAsia="仿宋" w:cs="Times New Roman"/>
          <w:color w:val="333333"/>
          <w:spacing w:val="8"/>
          <w:sz w:val="32"/>
          <w:szCs w:val="32"/>
          <w:highlight w:val="none"/>
          <w:lang w:val="en-US" w:eastAsia="zh-CN"/>
        </w:rPr>
        <w:t>2025年度</w:t>
      </w:r>
      <w:r>
        <w:rPr>
          <w:rFonts w:hint="default" w:ascii="Times New Roman" w:hAnsi="Times New Roman" w:eastAsia="仿宋" w:cs="Times New Roman"/>
          <w:color w:val="333333"/>
          <w:spacing w:val="8"/>
          <w:sz w:val="32"/>
          <w:szCs w:val="32"/>
          <w:highlight w:val="none"/>
          <w:lang w:val="zh-CN" w:eastAsia="zh-CN"/>
        </w:rPr>
        <w:t>土地征收成片开发范围位于在永安镇（</w:t>
      </w:r>
      <w:r>
        <w:rPr>
          <w:rFonts w:hint="eastAsia" w:ascii="Times New Roman" w:hAnsi="Times New Roman" w:eastAsia="仿宋" w:cs="Times New Roman"/>
          <w:color w:val="333333"/>
          <w:spacing w:val="8"/>
          <w:sz w:val="32"/>
          <w:szCs w:val="32"/>
          <w:highlight w:val="none"/>
          <w:lang w:val="en-US" w:eastAsia="zh-CN"/>
        </w:rPr>
        <w:t>53.3717</w:t>
      </w:r>
      <w:r>
        <w:rPr>
          <w:rFonts w:hint="default" w:ascii="Times New Roman" w:hAnsi="Times New Roman" w:eastAsia="仿宋" w:cs="Times New Roman"/>
          <w:color w:val="333333"/>
          <w:spacing w:val="8"/>
          <w:sz w:val="32"/>
          <w:szCs w:val="32"/>
          <w:highlight w:val="none"/>
          <w:lang w:val="zh-CN" w:eastAsia="zh-CN"/>
        </w:rPr>
        <w:t>公顷）</w:t>
      </w:r>
      <w:r>
        <w:rPr>
          <w:rFonts w:hint="default" w:ascii="Times New Roman" w:hAnsi="Times New Roman" w:eastAsia="仿宋" w:cs="Times New Roman"/>
          <w:color w:val="333333"/>
          <w:spacing w:val="8"/>
          <w:sz w:val="32"/>
          <w:szCs w:val="32"/>
          <w:highlight w:val="none"/>
          <w:lang w:val="en-US" w:eastAsia="zh-CN"/>
        </w:rPr>
        <w:t>及</w:t>
      </w:r>
      <w:r>
        <w:rPr>
          <w:rFonts w:hint="default" w:ascii="Times New Roman" w:hAnsi="Times New Roman" w:eastAsia="仿宋" w:cs="Times New Roman"/>
          <w:color w:val="333333"/>
          <w:spacing w:val="8"/>
          <w:sz w:val="32"/>
          <w:szCs w:val="32"/>
          <w:highlight w:val="none"/>
          <w:lang w:val="zh-CN" w:eastAsia="zh-CN"/>
        </w:rPr>
        <w:t>鸡东镇（</w:t>
      </w:r>
      <w:r>
        <w:rPr>
          <w:rFonts w:hint="eastAsia" w:ascii="Times New Roman" w:hAnsi="Times New Roman" w:eastAsia="仿宋" w:cs="Times New Roman"/>
          <w:color w:val="333333"/>
          <w:spacing w:val="8"/>
          <w:sz w:val="32"/>
          <w:szCs w:val="32"/>
          <w:highlight w:val="none"/>
          <w:lang w:val="en-US" w:eastAsia="zh-CN"/>
        </w:rPr>
        <w:t>22.0890</w:t>
      </w:r>
      <w:r>
        <w:rPr>
          <w:rFonts w:hint="default" w:ascii="Times New Roman" w:hAnsi="Times New Roman" w:eastAsia="仿宋" w:cs="Times New Roman"/>
          <w:color w:val="333333"/>
          <w:spacing w:val="8"/>
          <w:sz w:val="32"/>
          <w:szCs w:val="32"/>
          <w:highlight w:val="none"/>
          <w:lang w:val="zh-CN" w:eastAsia="zh-CN"/>
        </w:rPr>
        <w:t>公顷）内，总面积</w:t>
      </w:r>
      <w:r>
        <w:rPr>
          <w:rFonts w:hint="eastAsia" w:ascii="Times New Roman" w:hAnsi="Times New Roman" w:eastAsia="仿宋" w:cs="Times New Roman"/>
          <w:color w:val="333333"/>
          <w:spacing w:val="8"/>
          <w:sz w:val="32"/>
          <w:szCs w:val="32"/>
          <w:highlight w:val="none"/>
          <w:lang w:val="zh-CN" w:eastAsia="zh-CN"/>
        </w:rPr>
        <w:t>75.4607</w:t>
      </w:r>
      <w:r>
        <w:rPr>
          <w:rFonts w:hint="default" w:ascii="Times New Roman" w:hAnsi="Times New Roman" w:eastAsia="仿宋" w:cs="Times New Roman"/>
          <w:color w:val="333333"/>
          <w:spacing w:val="8"/>
          <w:sz w:val="32"/>
          <w:szCs w:val="32"/>
          <w:highlight w:val="none"/>
          <w:lang w:val="zh-CN" w:eastAsia="zh-CN"/>
        </w:rPr>
        <w:t>公顷，本次成片开发方案涉及项目位于经自然资</w:t>
      </w:r>
      <w:r>
        <w:rPr>
          <w:rFonts w:hint="default" w:ascii="Times New Roman" w:hAnsi="Times New Roman" w:eastAsia="仿宋" w:cs="Times New Roman"/>
          <w:color w:val="333333"/>
          <w:spacing w:val="8"/>
          <w:sz w:val="32"/>
          <w:szCs w:val="32"/>
          <w:lang w:val="zh-CN" w:eastAsia="zh-CN"/>
        </w:rPr>
        <w:t>源部批准使用的城镇开发边界内，已纳入经依法批准的《</w:t>
      </w:r>
      <w:r>
        <w:rPr>
          <w:rFonts w:hint="eastAsia" w:ascii="Times New Roman" w:hAnsi="Times New Roman" w:eastAsia="仿宋" w:cs="Times New Roman"/>
          <w:color w:val="333333"/>
          <w:spacing w:val="8"/>
          <w:sz w:val="32"/>
          <w:szCs w:val="32"/>
          <w:lang w:val="zh-CN" w:eastAsia="zh-CN"/>
        </w:rPr>
        <w:t>鸡东县</w:t>
      </w:r>
      <w:r>
        <w:rPr>
          <w:rFonts w:hint="default" w:ascii="Times New Roman" w:hAnsi="Times New Roman" w:eastAsia="仿宋" w:cs="Times New Roman"/>
          <w:color w:val="333333"/>
          <w:spacing w:val="8"/>
          <w:sz w:val="32"/>
          <w:szCs w:val="32"/>
          <w:lang w:val="zh-CN" w:eastAsia="zh-CN"/>
        </w:rPr>
        <w:t>国土空间总体规划》（2021-2035年）内</w:t>
      </w:r>
      <w:r>
        <w:rPr>
          <w:rFonts w:hint="default" w:ascii="Times New Roman" w:hAnsi="Times New Roman" w:eastAsia="仿宋" w:cs="Times New Roman"/>
          <w:color w:val="333333"/>
          <w:spacing w:val="8"/>
          <w:sz w:val="32"/>
          <w:szCs w:val="32"/>
          <w:lang w:eastAsia="zh-CN"/>
        </w:rPr>
        <w:t>，符合《</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国民经济和社会发展第十四个五年规划和2035年远景目标纲要》，拟在“十四五”规划期间组织实施，不涉及占用永久基本农田和不涉及生态保护红线范围内。</w:t>
      </w:r>
      <w:r>
        <w:rPr>
          <w:rFonts w:hint="default" w:ascii="Times New Roman" w:hAnsi="Times New Roman" w:eastAsia="仿宋" w:cs="Times New Roman"/>
          <w:color w:val="333333"/>
          <w:spacing w:val="8"/>
          <w:sz w:val="32"/>
          <w:szCs w:val="32"/>
          <w:highlight w:val="none"/>
          <w:lang w:val="zh-CN" w:eastAsia="zh-CN"/>
        </w:rPr>
        <w:t>拟实施</w:t>
      </w:r>
      <w:r>
        <w:rPr>
          <w:rFonts w:hint="default" w:ascii="Times New Roman" w:hAnsi="Times New Roman" w:eastAsia="仿宋" w:cs="Times New Roman"/>
          <w:color w:val="333333"/>
          <w:spacing w:val="8"/>
          <w:sz w:val="32"/>
          <w:szCs w:val="32"/>
          <w:highlight w:val="none"/>
          <w:lang w:eastAsia="zh-CN"/>
        </w:rPr>
        <w:t>黑龙江省鸡西市鸡东县30万吨绿氢醇航油化工联产</w:t>
      </w:r>
      <w:r>
        <w:rPr>
          <w:rFonts w:hint="default" w:ascii="Times New Roman" w:hAnsi="Times New Roman" w:eastAsia="仿宋" w:cs="Times New Roman"/>
          <w:color w:val="333333"/>
          <w:spacing w:val="8"/>
          <w:sz w:val="32"/>
          <w:szCs w:val="32"/>
          <w:lang w:eastAsia="zh-CN"/>
        </w:rPr>
        <w:t>项目、</w:t>
      </w:r>
      <w:r>
        <w:rPr>
          <w:rFonts w:hint="eastAsia" w:ascii="Times New Roman" w:hAnsi="Times New Roman" w:eastAsia="仿宋" w:cs="Times New Roman"/>
          <w:color w:val="333333"/>
          <w:spacing w:val="8"/>
          <w:sz w:val="32"/>
          <w:szCs w:val="32"/>
          <w:lang w:val="en-US" w:eastAsia="zh-CN"/>
        </w:rPr>
        <w:t>5万吨可持续航空燃料（SAF）生产项目</w:t>
      </w:r>
      <w:r>
        <w:rPr>
          <w:rFonts w:hint="eastAsia" w:ascii="Times New Roman" w:hAnsi="Times New Roman" w:eastAsia="仿宋" w:cs="Times New Roman"/>
          <w:color w:val="333333"/>
          <w:spacing w:val="8"/>
          <w:sz w:val="32"/>
          <w:szCs w:val="32"/>
          <w:lang w:eastAsia="zh-CN"/>
        </w:rPr>
        <w:t>、</w:t>
      </w:r>
      <w:r>
        <w:rPr>
          <w:rFonts w:hint="eastAsia" w:ascii="Times New Roman" w:hAnsi="Times New Roman" w:eastAsia="仿宋" w:cs="Times New Roman"/>
          <w:color w:val="333333"/>
          <w:spacing w:val="8"/>
          <w:sz w:val="32"/>
          <w:szCs w:val="32"/>
          <w:lang w:val="en-US" w:eastAsia="zh-CN"/>
        </w:rPr>
        <w:t>体育公园、公益性道路</w:t>
      </w:r>
      <w:r>
        <w:rPr>
          <w:rFonts w:hint="default" w:ascii="Times New Roman" w:hAnsi="Times New Roman" w:eastAsia="仿宋" w:cs="Times New Roman"/>
          <w:color w:val="333333"/>
          <w:spacing w:val="8"/>
          <w:sz w:val="32"/>
          <w:szCs w:val="32"/>
          <w:lang w:val="zh-CN" w:eastAsia="zh-CN"/>
        </w:rPr>
        <w:t>。</w:t>
      </w:r>
    </w:p>
    <w:p w14:paraId="63A137DC">
      <w:pPr>
        <w:rPr>
          <w:rFonts w:hint="default" w:ascii="Times New Roman" w:hAnsi="Times New Roman" w:eastAsia="黑体" w:cs="Times New Roman"/>
          <w:sz w:val="32"/>
          <w:szCs w:val="32"/>
        </w:rPr>
      </w:pPr>
      <w:bookmarkStart w:id="4" w:name="_Toc13807"/>
      <w:r>
        <w:rPr>
          <w:rFonts w:hint="default" w:ascii="Times New Roman" w:hAnsi="Times New Roman" w:eastAsia="黑体" w:cs="Times New Roman"/>
          <w:sz w:val="32"/>
          <w:szCs w:val="32"/>
        </w:rPr>
        <w:br w:type="page"/>
      </w:r>
    </w:p>
    <w:p w14:paraId="3EE2672C">
      <w:pPr>
        <w:pStyle w:val="2"/>
        <w:pageBreakBefore w:val="0"/>
        <w:widowControl w:val="0"/>
        <w:kinsoku/>
        <w:wordWrap/>
        <w:overflowPunct/>
        <w:topLinePunct w:val="0"/>
        <w:autoSpaceDE/>
        <w:autoSpaceDN/>
        <w:bidi w:val="0"/>
        <w:snapToGrid/>
        <w:spacing w:before="0" w:after="0" w:line="560" w:lineRule="exact"/>
        <w:ind w:firstLine="643" w:firstLineChars="200"/>
        <w:textAlignment w:val="auto"/>
        <w:rPr>
          <w:rFonts w:hint="default" w:ascii="Times New Roman" w:hAnsi="Times New Roman" w:eastAsia="黑体" w:cs="Times New Roman"/>
          <w:sz w:val="32"/>
          <w:szCs w:val="32"/>
        </w:rPr>
      </w:pPr>
      <w:bookmarkStart w:id="5" w:name="_Toc31540"/>
      <w:bookmarkStart w:id="6" w:name="_Toc4342"/>
      <w:r>
        <w:rPr>
          <w:rFonts w:hint="default" w:ascii="Times New Roman" w:hAnsi="Times New Roman" w:eastAsia="黑体" w:cs="Times New Roman"/>
          <w:sz w:val="32"/>
          <w:szCs w:val="32"/>
        </w:rPr>
        <w:t>1.概述</w:t>
      </w:r>
      <w:bookmarkEnd w:id="4"/>
      <w:bookmarkEnd w:id="5"/>
      <w:bookmarkEnd w:id="6"/>
    </w:p>
    <w:p w14:paraId="51DDFAD4">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7" w:name="_Toc7919"/>
      <w:bookmarkStart w:id="8" w:name="_Toc23298"/>
      <w:r>
        <w:rPr>
          <w:rFonts w:hint="default" w:ascii="Times New Roman" w:hAnsi="Times New Roman" w:eastAsia="方正楷体_GB2312" w:cs="Times New Roman"/>
        </w:rPr>
        <w:t>1.1编制背景</w:t>
      </w:r>
      <w:bookmarkEnd w:id="7"/>
      <w:bookmarkEnd w:id="8"/>
    </w:p>
    <w:p w14:paraId="5275E244">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2020年1月1日，新修订《土地管理法》正式实施，其中第四十五条规定“在土地利用总体规划确定的城镇建设用地范围内，经省级以上人民政府批准由县级以上地方人民政府组织实施的成片开发建设需要用地的，确需征收农民集体所有的土地的，可以依法实施征收；成片开发用地需符合自然资源部规定的标准方可实施征地”。202</w:t>
      </w:r>
      <w:r>
        <w:rPr>
          <w:rFonts w:hint="default" w:ascii="Times New Roman" w:hAnsi="Times New Roman" w:eastAsia="仿宋" w:cs="Times New Roman"/>
          <w:color w:val="333333"/>
          <w:spacing w:val="8"/>
          <w:sz w:val="32"/>
          <w:szCs w:val="32"/>
          <w:lang w:val="en-US" w:eastAsia="zh-CN"/>
        </w:rPr>
        <w:t>3</w:t>
      </w:r>
      <w:r>
        <w:rPr>
          <w:rFonts w:hint="default" w:ascii="Times New Roman" w:hAnsi="Times New Roman" w:eastAsia="仿宋" w:cs="Times New Roman"/>
          <w:color w:val="333333"/>
          <w:spacing w:val="8"/>
          <w:sz w:val="32"/>
          <w:szCs w:val="32"/>
          <w:lang w:eastAsia="zh-CN"/>
        </w:rPr>
        <w:t>年1</w:t>
      </w:r>
      <w:r>
        <w:rPr>
          <w:rFonts w:hint="default" w:ascii="Times New Roman" w:hAnsi="Times New Roman" w:eastAsia="仿宋" w:cs="Times New Roman"/>
          <w:color w:val="333333"/>
          <w:spacing w:val="8"/>
          <w:sz w:val="32"/>
          <w:szCs w:val="32"/>
          <w:lang w:val="en-US" w:eastAsia="zh-CN"/>
        </w:rPr>
        <w:t>0</w:t>
      </w:r>
      <w:r>
        <w:rPr>
          <w:rFonts w:hint="default" w:ascii="Times New Roman" w:hAnsi="Times New Roman" w:eastAsia="仿宋" w:cs="Times New Roman"/>
          <w:color w:val="333333"/>
          <w:spacing w:val="8"/>
          <w:sz w:val="32"/>
          <w:szCs w:val="32"/>
          <w:lang w:eastAsia="zh-CN"/>
        </w:rPr>
        <w:t>月</w:t>
      </w:r>
      <w:r>
        <w:rPr>
          <w:rFonts w:hint="default" w:ascii="Times New Roman" w:hAnsi="Times New Roman" w:eastAsia="仿宋" w:cs="Times New Roman"/>
          <w:color w:val="333333"/>
          <w:spacing w:val="8"/>
          <w:sz w:val="32"/>
          <w:szCs w:val="32"/>
          <w:lang w:val="en-US" w:eastAsia="zh-CN"/>
        </w:rPr>
        <w:t>31</w:t>
      </w:r>
      <w:r>
        <w:rPr>
          <w:rFonts w:hint="default" w:ascii="Times New Roman" w:hAnsi="Times New Roman" w:eastAsia="仿宋" w:cs="Times New Roman"/>
          <w:color w:val="333333"/>
          <w:spacing w:val="8"/>
          <w:sz w:val="32"/>
          <w:szCs w:val="32"/>
          <w:lang w:eastAsia="zh-CN"/>
        </w:rPr>
        <w:t>日，自然资源部印发了</w:t>
      </w:r>
      <w:r>
        <w:rPr>
          <w:rFonts w:hint="default" w:ascii="Times New Roman" w:hAnsi="Times New Roman" w:eastAsia="仿宋" w:cs="Times New Roman"/>
          <w:color w:val="333333"/>
          <w:spacing w:val="8"/>
          <w:sz w:val="32"/>
          <w:szCs w:val="32"/>
          <w:lang w:val="zh-CN" w:eastAsia="zh-CN"/>
        </w:rPr>
        <w:t>《土地征收成片开发标准》（自然资规〔2023〕7号），明确了成片开发的标准、流程、土地征收成片开发方案的内容等。上述政策的出台，充分考虑了国家和黑龙江省时下经济社会发展的需求，是贯彻落实新的</w:t>
      </w:r>
      <w:r>
        <w:rPr>
          <w:rFonts w:hint="default" w:ascii="Times New Roman" w:hAnsi="Times New Roman" w:eastAsia="仿宋" w:cs="Times New Roman"/>
          <w:color w:val="333333"/>
          <w:spacing w:val="8"/>
          <w:sz w:val="32"/>
          <w:szCs w:val="32"/>
          <w:lang w:eastAsia="zh-CN"/>
        </w:rPr>
        <w:t>《</w:t>
      </w:r>
      <w:r>
        <w:rPr>
          <w:rFonts w:hint="default" w:ascii="Times New Roman" w:hAnsi="Times New Roman" w:eastAsia="仿宋" w:cs="Times New Roman"/>
          <w:color w:val="333333"/>
          <w:spacing w:val="8"/>
          <w:sz w:val="32"/>
          <w:szCs w:val="32"/>
          <w:lang w:val="zh-CN" w:eastAsia="zh-CN"/>
        </w:rPr>
        <w:t>中华人民共和国</w:t>
      </w:r>
      <w:r>
        <w:rPr>
          <w:rFonts w:hint="default" w:ascii="Times New Roman" w:hAnsi="Times New Roman" w:eastAsia="仿宋" w:cs="Times New Roman"/>
          <w:color w:val="333333"/>
          <w:spacing w:val="8"/>
          <w:sz w:val="32"/>
          <w:szCs w:val="32"/>
          <w:lang w:eastAsia="zh-CN"/>
        </w:rPr>
        <w:t>土地管理法》、规范土地征收成片开发方案的审查报批工作、保障经济和社会的发展用地需求，维护征收农村集体经济组织和农民的合法权益的需要。新的政策形势下，</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土地征收成片开发方案深入贯彻落实上级决策部署，充分践行新发展理念，深化土地供给侧改革，落实最严格的耕地保护和节约集约用地制度，切实维护好农民的合法权益，促进经济社会可持续发展。</w:t>
      </w:r>
    </w:p>
    <w:p w14:paraId="1D5BB6CC">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9" w:name="_Toc5207"/>
      <w:bookmarkStart w:id="10" w:name="_Toc15508"/>
      <w:r>
        <w:rPr>
          <w:rFonts w:hint="default" w:ascii="Times New Roman" w:hAnsi="Times New Roman" w:eastAsia="方正楷体_GB2312" w:cs="Times New Roman"/>
        </w:rPr>
        <w:t>1.2编制原则</w:t>
      </w:r>
      <w:bookmarkEnd w:id="9"/>
      <w:bookmarkEnd w:id="10"/>
    </w:p>
    <w:p w14:paraId="74DE2216">
      <w:pPr>
        <w:pageBreakBefore w:val="0"/>
        <w:widowControl w:val="0"/>
        <w:kinsoku/>
        <w:wordWrap/>
        <w:overflowPunct/>
        <w:topLinePunct w:val="0"/>
        <w:autoSpaceDE/>
        <w:autoSpaceDN/>
        <w:bidi w:val="0"/>
        <w:adjustRightInd w:val="0"/>
        <w:snapToGrid/>
        <w:spacing w:line="560" w:lineRule="exact"/>
        <w:ind w:firstLine="675" w:firstLineChars="200"/>
        <w:textAlignment w:val="auto"/>
        <w:rPr>
          <w:rFonts w:hint="default" w:ascii="Times New Roman" w:hAnsi="Times New Roman" w:eastAsia="方正仿宋_GB18030" w:cs="Times New Roman"/>
          <w:b/>
          <w:bCs/>
          <w:color w:val="333333"/>
          <w:spacing w:val="8"/>
          <w:sz w:val="32"/>
          <w:szCs w:val="32"/>
        </w:rPr>
      </w:pPr>
      <w:r>
        <w:rPr>
          <w:rFonts w:hint="default" w:ascii="Times New Roman" w:hAnsi="Times New Roman" w:eastAsia="方正仿宋_GB18030" w:cs="Times New Roman"/>
          <w:b/>
          <w:bCs/>
          <w:color w:val="333333"/>
          <w:spacing w:val="8"/>
          <w:sz w:val="32"/>
          <w:szCs w:val="32"/>
        </w:rPr>
        <w:t>1.依法依规、维护公共利益原则</w:t>
      </w:r>
    </w:p>
    <w:p w14:paraId="67EAC740">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zh-CN" w:eastAsia="zh-CN"/>
        </w:rPr>
      </w:pPr>
      <w:r>
        <w:rPr>
          <w:rFonts w:hint="default" w:ascii="Times New Roman" w:hAnsi="Times New Roman" w:eastAsia="仿宋" w:cs="Times New Roman"/>
          <w:color w:val="333333"/>
          <w:spacing w:val="8"/>
          <w:sz w:val="32"/>
          <w:szCs w:val="32"/>
          <w:lang w:eastAsia="zh-CN"/>
        </w:rPr>
        <w:t>土地征收成片开发应遵循相关法律、法规和规程的规定，符合《土地管理法》、《自然资源部关于印发</w:t>
      </w:r>
      <w:r>
        <w:rPr>
          <w:rFonts w:hint="default" w:ascii="Times New Roman" w:hAnsi="Times New Roman" w:eastAsia="仿宋" w:cs="Times New Roman"/>
          <w:color w:val="333333"/>
          <w:spacing w:val="8"/>
          <w:sz w:val="32"/>
          <w:szCs w:val="32"/>
          <w:lang w:val="en-US" w:eastAsia="zh-CN"/>
        </w:rPr>
        <w:t>&lt;</w:t>
      </w:r>
      <w:r>
        <w:rPr>
          <w:rFonts w:hint="default" w:ascii="Times New Roman" w:hAnsi="Times New Roman" w:eastAsia="仿宋" w:cs="Times New Roman"/>
          <w:color w:val="333333"/>
          <w:spacing w:val="8"/>
          <w:sz w:val="32"/>
          <w:szCs w:val="32"/>
          <w:lang w:eastAsia="zh-CN"/>
        </w:rPr>
        <w:t>土地征收成片开发标准</w:t>
      </w:r>
      <w:r>
        <w:rPr>
          <w:rFonts w:hint="default" w:ascii="Times New Roman" w:hAnsi="Times New Roman" w:eastAsia="仿宋" w:cs="Times New Roman"/>
          <w:color w:val="333333"/>
          <w:spacing w:val="8"/>
          <w:sz w:val="32"/>
          <w:szCs w:val="32"/>
          <w:lang w:val="en-US" w:eastAsia="zh-CN"/>
        </w:rPr>
        <w:t>&gt;</w:t>
      </w:r>
      <w:r>
        <w:rPr>
          <w:rFonts w:hint="default" w:ascii="Times New Roman" w:hAnsi="Times New Roman" w:eastAsia="仿宋" w:cs="Times New Roman"/>
          <w:color w:val="333333"/>
          <w:spacing w:val="8"/>
          <w:sz w:val="32"/>
          <w:szCs w:val="32"/>
          <w:lang w:eastAsia="zh-CN"/>
        </w:rPr>
        <w:t>的通知》（自然资规〔2023〕7号）</w:t>
      </w:r>
      <w:r>
        <w:rPr>
          <w:rFonts w:hint="default" w:ascii="Times New Roman" w:hAnsi="Times New Roman" w:eastAsia="仿宋" w:cs="Times New Roman"/>
          <w:color w:val="333333"/>
          <w:spacing w:val="8"/>
          <w:sz w:val="32"/>
          <w:szCs w:val="32"/>
          <w:lang w:val="zh-CN" w:eastAsia="zh-CN"/>
        </w:rPr>
        <w:t>等相关规定；符合国民经济和社会发展规划、《</w:t>
      </w:r>
      <w:r>
        <w:rPr>
          <w:rFonts w:hint="eastAsia" w:ascii="Times New Roman" w:hAnsi="Times New Roman" w:eastAsia="仿宋" w:cs="Times New Roman"/>
          <w:color w:val="333333"/>
          <w:spacing w:val="8"/>
          <w:sz w:val="32"/>
          <w:szCs w:val="32"/>
          <w:lang w:val="zh-CN" w:eastAsia="zh-CN"/>
        </w:rPr>
        <w:t>鸡东县</w:t>
      </w:r>
      <w:r>
        <w:rPr>
          <w:rFonts w:hint="default" w:ascii="Times New Roman" w:hAnsi="Times New Roman" w:eastAsia="仿宋" w:cs="Times New Roman"/>
          <w:color w:val="333333"/>
          <w:spacing w:val="8"/>
          <w:sz w:val="32"/>
          <w:szCs w:val="32"/>
          <w:lang w:val="zh-CN" w:eastAsia="zh-CN"/>
        </w:rPr>
        <w:t>国土空间总体规划》（2021-2035年），纳入当地国民经济和社会发展年度计划；并符合国家产业政策和供地政策。</w:t>
      </w:r>
    </w:p>
    <w:p w14:paraId="48BF716C">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zh-CN" w:eastAsia="zh-CN"/>
        </w:rPr>
      </w:pPr>
      <w:r>
        <w:rPr>
          <w:rFonts w:hint="default" w:ascii="Times New Roman" w:hAnsi="Times New Roman" w:eastAsia="仿宋" w:cs="Times New Roman"/>
          <w:color w:val="333333"/>
          <w:spacing w:val="8"/>
          <w:sz w:val="32"/>
          <w:szCs w:val="32"/>
          <w:lang w:val="zh-CN" w:eastAsia="zh-CN"/>
        </w:rPr>
        <w:t>土地征收成片开发要</w:t>
      </w:r>
      <w:bookmarkStart w:id="11" w:name="_Hlk56699871"/>
      <w:r>
        <w:rPr>
          <w:rFonts w:hint="default" w:ascii="Times New Roman" w:hAnsi="Times New Roman" w:eastAsia="仿宋" w:cs="Times New Roman"/>
          <w:color w:val="333333"/>
          <w:spacing w:val="8"/>
          <w:sz w:val="32"/>
          <w:szCs w:val="32"/>
          <w:lang w:val="zh-CN" w:eastAsia="zh-CN"/>
        </w:rPr>
        <w:t>坚持新发展理念，</w:t>
      </w:r>
      <w:bookmarkEnd w:id="11"/>
      <w:r>
        <w:rPr>
          <w:rFonts w:hint="default" w:ascii="Times New Roman" w:hAnsi="Times New Roman" w:eastAsia="仿宋" w:cs="Times New Roman"/>
          <w:color w:val="333333"/>
          <w:spacing w:val="8"/>
          <w:sz w:val="32"/>
          <w:szCs w:val="32"/>
          <w:lang w:val="zh-CN" w:eastAsia="zh-CN"/>
        </w:rPr>
        <w:t>以人民为中心，为公共利益的需要，兼顾群众的现实和长远利益，注重维护农民合法权益，充分征求成片开发区域内农村集体经济组织和农民的意见。提高成片开发范围内基础设施、公共服务设施以及其他公益性用地比例。</w:t>
      </w:r>
    </w:p>
    <w:p w14:paraId="5D4BBA6C">
      <w:pPr>
        <w:pageBreakBefore w:val="0"/>
        <w:widowControl w:val="0"/>
        <w:kinsoku/>
        <w:wordWrap/>
        <w:overflowPunct/>
        <w:topLinePunct w:val="0"/>
        <w:autoSpaceDE/>
        <w:autoSpaceDN/>
        <w:bidi w:val="0"/>
        <w:adjustRightInd w:val="0"/>
        <w:snapToGrid/>
        <w:spacing w:line="560" w:lineRule="exact"/>
        <w:ind w:firstLine="675" w:firstLineChars="200"/>
        <w:textAlignment w:val="auto"/>
        <w:rPr>
          <w:rFonts w:hint="default" w:ascii="Times New Roman" w:hAnsi="Times New Roman" w:eastAsia="方正仿宋_GB18030" w:cs="Times New Roman"/>
          <w:b/>
          <w:bCs/>
          <w:color w:val="333333"/>
          <w:spacing w:val="8"/>
          <w:sz w:val="32"/>
          <w:szCs w:val="32"/>
        </w:rPr>
      </w:pPr>
      <w:r>
        <w:rPr>
          <w:rFonts w:hint="default" w:ascii="Times New Roman" w:hAnsi="Times New Roman" w:eastAsia="方正仿宋_GB18030" w:cs="Times New Roman"/>
          <w:b/>
          <w:bCs/>
          <w:color w:val="333333"/>
          <w:spacing w:val="8"/>
          <w:sz w:val="32"/>
          <w:szCs w:val="32"/>
        </w:rPr>
        <w:t>2.科学合理、确保开发必要原则</w:t>
      </w:r>
    </w:p>
    <w:p w14:paraId="736B8622">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土地征收成片开发应当坚持新发展理念，立足城市的长远发展，依据土地经济规律、社会经济发展和市场需求，注重节约集约用地，注重生态环境保护，通过深度分析和科学论证，确定成片开发规模和范围，确保开发的必要性。因地制宜，有针对性地开展编制工作，着重解决实际问题。</w:t>
      </w:r>
    </w:p>
    <w:p w14:paraId="61DC0727">
      <w:pPr>
        <w:pageBreakBefore w:val="0"/>
        <w:widowControl w:val="0"/>
        <w:kinsoku/>
        <w:wordWrap/>
        <w:overflowPunct/>
        <w:topLinePunct w:val="0"/>
        <w:autoSpaceDE/>
        <w:autoSpaceDN/>
        <w:bidi w:val="0"/>
        <w:adjustRightInd w:val="0"/>
        <w:snapToGrid/>
        <w:spacing w:line="560" w:lineRule="exact"/>
        <w:ind w:firstLine="675" w:firstLineChars="200"/>
        <w:textAlignment w:val="auto"/>
        <w:rPr>
          <w:rFonts w:hint="default" w:ascii="Times New Roman" w:hAnsi="Times New Roman" w:eastAsia="方正仿宋_GB18030" w:cs="Times New Roman"/>
          <w:b/>
          <w:bCs/>
          <w:color w:val="333333"/>
          <w:spacing w:val="8"/>
          <w:sz w:val="32"/>
          <w:szCs w:val="32"/>
        </w:rPr>
      </w:pPr>
      <w:r>
        <w:rPr>
          <w:rFonts w:hint="default" w:ascii="Times New Roman" w:hAnsi="Times New Roman" w:eastAsia="方正仿宋_GB18030" w:cs="Times New Roman"/>
          <w:b/>
          <w:bCs/>
          <w:color w:val="333333"/>
          <w:spacing w:val="8"/>
          <w:sz w:val="32"/>
          <w:szCs w:val="32"/>
        </w:rPr>
        <w:t>3.保护耕地、节约集约用地原则</w:t>
      </w:r>
    </w:p>
    <w:p w14:paraId="7FC79C0E">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控制建设少占耕地，预防和消除危害耕地及环境的因素，稳定和扩大耕地面积，维持和提高耕地的生产能力、预防和治理耕地环境污染，建立保护补偿机制，确保耕地总量不减少、质量有提高。</w:t>
      </w:r>
    </w:p>
    <w:p w14:paraId="67C73B1B">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深入贯彻新发展理念和节约集约优先战略，片区内建设用地依据经济社会发展、实际用地需求、土地综合开发相关政策等合理确定建设用地总规模、容积率、建筑密度、建筑限高等，通过规模引导、布局优化、标准控制、市场配置、盘活利用等手段，优化土地利用结构与布局、提高土地利用效率和土地节约集约利用水平。</w:t>
      </w:r>
    </w:p>
    <w:p w14:paraId="0B3AB55D">
      <w:pPr>
        <w:pageBreakBefore w:val="0"/>
        <w:widowControl w:val="0"/>
        <w:kinsoku/>
        <w:wordWrap/>
        <w:overflowPunct/>
        <w:topLinePunct w:val="0"/>
        <w:autoSpaceDE/>
        <w:autoSpaceDN/>
        <w:bidi w:val="0"/>
        <w:adjustRightInd w:val="0"/>
        <w:snapToGrid/>
        <w:spacing w:line="560" w:lineRule="exact"/>
        <w:ind w:firstLine="675" w:firstLineChars="200"/>
        <w:textAlignment w:val="auto"/>
        <w:rPr>
          <w:rFonts w:hint="default" w:ascii="Times New Roman" w:hAnsi="Times New Roman" w:eastAsia="方正仿宋_GB18030" w:cs="Times New Roman"/>
          <w:b/>
          <w:bCs/>
          <w:color w:val="333333"/>
          <w:spacing w:val="8"/>
          <w:sz w:val="32"/>
          <w:szCs w:val="32"/>
        </w:rPr>
      </w:pPr>
      <w:r>
        <w:rPr>
          <w:rFonts w:hint="default" w:ascii="Times New Roman" w:hAnsi="Times New Roman" w:eastAsia="方正仿宋_GB18030" w:cs="Times New Roman"/>
          <w:b/>
          <w:bCs/>
          <w:color w:val="333333"/>
          <w:spacing w:val="8"/>
          <w:sz w:val="32"/>
          <w:szCs w:val="32"/>
        </w:rPr>
        <w:t>4.生态优先、经济社会持续发展原则</w:t>
      </w:r>
    </w:p>
    <w:p w14:paraId="29837574">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生态优先，绿色发展，不占用永久基本农田，不涉及自然保护地、生态红线和重要环境敏感区等，加强生态文明建设，牢固树立绿水青山就是金山银山的理念，形成绿色发展方式和生活方式，实现土地综合开发利用与生态建设的和谐统一。</w:t>
      </w:r>
    </w:p>
    <w:p w14:paraId="2B49AD4D">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以经济建设为中心，在推进经济发展的过程中，促进人与自然的和谐，重视解决人口、资源和环境问题，坚持经济、社会与生态环境的持续协调发展。坚持走生产发展、生活富裕、生态良好的文明发展道路，保证经济社会的可持续发展。</w:t>
      </w:r>
    </w:p>
    <w:p w14:paraId="07582854">
      <w:pPr>
        <w:pageBreakBefore w:val="0"/>
        <w:widowControl w:val="0"/>
        <w:kinsoku/>
        <w:wordWrap/>
        <w:overflowPunct/>
        <w:topLinePunct w:val="0"/>
        <w:autoSpaceDE/>
        <w:autoSpaceDN/>
        <w:bidi w:val="0"/>
        <w:adjustRightInd w:val="0"/>
        <w:snapToGrid/>
        <w:spacing w:line="560" w:lineRule="exact"/>
        <w:ind w:firstLine="675" w:firstLineChars="200"/>
        <w:textAlignment w:val="auto"/>
        <w:rPr>
          <w:rFonts w:hint="default" w:ascii="Times New Roman" w:hAnsi="Times New Roman" w:eastAsia="方正仿宋_GB18030" w:cs="Times New Roman"/>
          <w:b/>
          <w:bCs/>
          <w:color w:val="333333"/>
          <w:spacing w:val="8"/>
          <w:sz w:val="32"/>
          <w:szCs w:val="32"/>
        </w:rPr>
      </w:pPr>
      <w:r>
        <w:rPr>
          <w:rFonts w:hint="default" w:ascii="Times New Roman" w:hAnsi="Times New Roman" w:eastAsia="方正仿宋_GB18030" w:cs="Times New Roman"/>
          <w:b/>
          <w:bCs/>
          <w:color w:val="333333"/>
          <w:spacing w:val="8"/>
          <w:sz w:val="32"/>
          <w:szCs w:val="32"/>
        </w:rPr>
        <w:t>5.可实施性、操作可行性原则</w:t>
      </w:r>
    </w:p>
    <w:p w14:paraId="1D00B555">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土地征收成片开发方案，坚持政府主导、市场推动、公众参与，处理好政府管理和市场行为对城市建设的调节作用，促进当地社会经济可持续发展。从实际出发，坚持目标导向、问题导向、实施导向相结合，目标明确，措施到位，提高方案的可实施性和操作性。</w:t>
      </w:r>
    </w:p>
    <w:p w14:paraId="298ADE00">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12" w:name="_Toc25113"/>
      <w:bookmarkStart w:id="13" w:name="_Toc27997"/>
      <w:r>
        <w:rPr>
          <w:rFonts w:hint="default" w:ascii="Times New Roman" w:hAnsi="Times New Roman" w:eastAsia="方正楷体_GB2312" w:cs="Times New Roman"/>
        </w:rPr>
        <w:t>1.3编制依据</w:t>
      </w:r>
      <w:bookmarkEnd w:id="12"/>
      <w:bookmarkEnd w:id="13"/>
    </w:p>
    <w:p w14:paraId="3F0460FF">
      <w:pPr>
        <w:pageBreakBefore w:val="0"/>
        <w:widowControl w:val="0"/>
        <w:kinsoku/>
        <w:wordWrap/>
        <w:overflowPunct/>
        <w:topLinePunct w:val="0"/>
        <w:autoSpaceDE/>
        <w:autoSpaceDN/>
        <w:bidi w:val="0"/>
        <w:adjustRightInd w:val="0"/>
        <w:snapToGrid/>
        <w:spacing w:line="560" w:lineRule="exact"/>
        <w:ind w:firstLine="675" w:firstLineChars="200"/>
        <w:textAlignment w:val="auto"/>
        <w:rPr>
          <w:rFonts w:hint="default" w:ascii="Times New Roman" w:hAnsi="Times New Roman" w:eastAsia="方正仿宋_GB18030" w:cs="Times New Roman"/>
          <w:b/>
          <w:bCs/>
          <w:color w:val="333333"/>
          <w:spacing w:val="8"/>
          <w:sz w:val="32"/>
          <w:szCs w:val="32"/>
        </w:rPr>
      </w:pPr>
      <w:r>
        <w:rPr>
          <w:rFonts w:hint="default" w:ascii="Times New Roman" w:hAnsi="Times New Roman" w:eastAsia="方正仿宋_GB18030" w:cs="Times New Roman"/>
          <w:b/>
          <w:bCs/>
          <w:color w:val="333333"/>
          <w:spacing w:val="8"/>
          <w:sz w:val="32"/>
          <w:szCs w:val="32"/>
        </w:rPr>
        <w:t>一、相关法律法规和政策文件</w:t>
      </w:r>
    </w:p>
    <w:p w14:paraId="1B4ACCB8">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（一）相关法律法规</w:t>
      </w:r>
    </w:p>
    <w:p w14:paraId="137E4713">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《中华人民共和国土地管理法》（2019年修正版）；</w:t>
      </w:r>
    </w:p>
    <w:p w14:paraId="40C275D2">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bookmarkStart w:id="14" w:name="bookmark80"/>
      <w:bookmarkEnd w:id="14"/>
      <w:r>
        <w:rPr>
          <w:rFonts w:hint="default" w:ascii="Times New Roman" w:hAnsi="Times New Roman" w:eastAsia="仿宋" w:cs="Times New Roman"/>
          <w:color w:val="333333"/>
          <w:spacing w:val="8"/>
          <w:sz w:val="32"/>
          <w:szCs w:val="32"/>
          <w:lang w:eastAsia="zh-CN"/>
        </w:rPr>
        <w:t>《中华人民共和国城乡规划法》（2019年修正版）；</w:t>
      </w:r>
    </w:p>
    <w:p w14:paraId="3EEC9215">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bookmarkStart w:id="15" w:name="bookmark81"/>
      <w:bookmarkEnd w:id="15"/>
      <w:r>
        <w:rPr>
          <w:rFonts w:hint="default" w:ascii="Times New Roman" w:hAnsi="Times New Roman" w:eastAsia="仿宋" w:cs="Times New Roman"/>
          <w:color w:val="333333"/>
          <w:spacing w:val="8"/>
          <w:sz w:val="32"/>
          <w:szCs w:val="32"/>
          <w:lang w:eastAsia="zh-CN"/>
        </w:rPr>
        <w:t>《中华人民共和国城市房地产管理法》（2009年修正版）；</w:t>
      </w:r>
    </w:p>
    <w:p w14:paraId="2ECC6771">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bookmarkStart w:id="16" w:name="bookmark82"/>
      <w:bookmarkEnd w:id="16"/>
      <w:r>
        <w:rPr>
          <w:rFonts w:hint="default" w:ascii="Times New Roman" w:hAnsi="Times New Roman" w:eastAsia="仿宋" w:cs="Times New Roman"/>
          <w:color w:val="333333"/>
          <w:spacing w:val="8"/>
          <w:sz w:val="32"/>
          <w:szCs w:val="32"/>
          <w:lang w:eastAsia="zh-CN"/>
        </w:rPr>
        <w:t>《中华人民共和国环境保护法》（2014年4月24日修订）；</w:t>
      </w:r>
    </w:p>
    <w:p w14:paraId="5404EBEF">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bookmarkStart w:id="17" w:name="bookmark83"/>
      <w:bookmarkEnd w:id="17"/>
      <w:r>
        <w:rPr>
          <w:rFonts w:hint="default" w:ascii="Times New Roman" w:hAnsi="Times New Roman" w:eastAsia="仿宋" w:cs="Times New Roman"/>
          <w:color w:val="333333"/>
          <w:spacing w:val="8"/>
          <w:sz w:val="32"/>
          <w:szCs w:val="32"/>
          <w:lang w:eastAsia="zh-CN"/>
        </w:rPr>
        <w:t>《中华人民共和国水土保持法》（2010年12月25日修订）；</w:t>
      </w:r>
    </w:p>
    <w:p w14:paraId="71EAE8C3">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bookmarkStart w:id="18" w:name="bookmark84"/>
      <w:bookmarkEnd w:id="18"/>
      <w:r>
        <w:rPr>
          <w:rFonts w:hint="default" w:ascii="Times New Roman" w:hAnsi="Times New Roman" w:eastAsia="仿宋" w:cs="Times New Roman"/>
          <w:color w:val="333333"/>
          <w:spacing w:val="8"/>
          <w:sz w:val="32"/>
          <w:szCs w:val="32"/>
          <w:lang w:eastAsia="zh-CN"/>
        </w:rPr>
        <w:t>《中华人民共和国森林法》（2019年12月28日修订）；</w:t>
      </w:r>
    </w:p>
    <w:p w14:paraId="15796DAF">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bookmarkStart w:id="19" w:name="bookmark85"/>
      <w:bookmarkEnd w:id="19"/>
      <w:r>
        <w:rPr>
          <w:rFonts w:hint="default" w:ascii="Times New Roman" w:hAnsi="Times New Roman" w:eastAsia="仿宋" w:cs="Times New Roman"/>
          <w:color w:val="333333"/>
          <w:spacing w:val="8"/>
          <w:sz w:val="32"/>
          <w:szCs w:val="32"/>
          <w:lang w:eastAsia="zh-CN"/>
        </w:rPr>
        <w:t>《基本农田保护条例》（2011年1月8日修订）；</w:t>
      </w:r>
    </w:p>
    <w:p w14:paraId="1B04731C">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bookmarkStart w:id="20" w:name="bookmark86"/>
      <w:bookmarkEnd w:id="20"/>
      <w:r>
        <w:rPr>
          <w:rFonts w:hint="default" w:ascii="Times New Roman" w:hAnsi="Times New Roman" w:eastAsia="仿宋" w:cs="Times New Roman"/>
          <w:color w:val="333333"/>
          <w:spacing w:val="8"/>
          <w:sz w:val="32"/>
          <w:szCs w:val="32"/>
          <w:lang w:eastAsia="zh-CN"/>
        </w:rPr>
        <w:t>《黑龙江省土地管理条例》（2022年12月22日黑龙江省第十三届人民代表大会常务委员会第三十九次会议通过）；</w:t>
      </w:r>
    </w:p>
    <w:p w14:paraId="6FE360A5">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bookmarkStart w:id="21" w:name="bookmark87"/>
      <w:bookmarkEnd w:id="21"/>
      <w:bookmarkStart w:id="22" w:name="bookmark88"/>
      <w:bookmarkEnd w:id="22"/>
      <w:r>
        <w:rPr>
          <w:rFonts w:hint="default" w:ascii="Times New Roman" w:hAnsi="Times New Roman" w:eastAsia="仿宋" w:cs="Times New Roman"/>
          <w:color w:val="333333"/>
          <w:spacing w:val="8"/>
          <w:sz w:val="32"/>
          <w:szCs w:val="32"/>
          <w:lang w:eastAsia="zh-CN"/>
        </w:rPr>
        <w:t>《黑龙江省城乡规划条例》（2015年3月1日起施行）；</w:t>
      </w:r>
    </w:p>
    <w:p w14:paraId="2FA4BEAA">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bookmarkStart w:id="23" w:name="bookmark89"/>
      <w:bookmarkEnd w:id="23"/>
      <w:r>
        <w:rPr>
          <w:rFonts w:hint="default" w:ascii="Times New Roman" w:hAnsi="Times New Roman" w:eastAsia="仿宋" w:cs="Times New Roman"/>
          <w:color w:val="333333"/>
          <w:spacing w:val="8"/>
          <w:sz w:val="32"/>
          <w:szCs w:val="32"/>
          <w:lang w:eastAsia="zh-CN"/>
        </w:rPr>
        <w:t>《黑龙江省林地管理条例》（2010年7月30日）；</w:t>
      </w:r>
    </w:p>
    <w:p w14:paraId="577FA457">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bookmarkStart w:id="24" w:name="bookmark90"/>
      <w:bookmarkEnd w:id="24"/>
      <w:r>
        <w:rPr>
          <w:rFonts w:hint="default" w:ascii="Times New Roman" w:hAnsi="Times New Roman" w:eastAsia="仿宋" w:cs="Times New Roman"/>
          <w:color w:val="333333"/>
          <w:spacing w:val="8"/>
          <w:sz w:val="32"/>
          <w:szCs w:val="32"/>
          <w:lang w:eastAsia="zh-CN"/>
        </w:rPr>
        <w:t>《黑龙江省湿地保护条例》（2014年1月1日）；</w:t>
      </w:r>
    </w:p>
    <w:p w14:paraId="7F19AA25">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val="en-US" w:eastAsia="zh-CN"/>
        </w:rPr>
        <w:t>《黑龙江省黑土地保护利用条例》（2021年12月23日黑龙江省第十三届人民代表大会常务委员会第二十九次会议通过 2023年12月24日黑龙江省第十四届人民代表大会常务委员会第九次会议修订）</w:t>
      </w:r>
      <w:r>
        <w:rPr>
          <w:rFonts w:hint="default" w:ascii="Times New Roman" w:hAnsi="Times New Roman" w:eastAsia="仿宋" w:cs="Times New Roman"/>
          <w:color w:val="333333"/>
          <w:spacing w:val="8"/>
          <w:sz w:val="32"/>
          <w:szCs w:val="32"/>
          <w:lang w:eastAsia="zh-CN"/>
        </w:rPr>
        <w:t>。</w:t>
      </w:r>
    </w:p>
    <w:p w14:paraId="15BB9645">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政策文件</w:t>
      </w:r>
    </w:p>
    <w:p w14:paraId="21988160">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《国土资源部关于全面实行永久基本农田特殊保护的通知》；</w:t>
      </w:r>
    </w:p>
    <w:p w14:paraId="597EAC5A">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bookmarkStart w:id="25" w:name="bookmark96"/>
      <w:bookmarkEnd w:id="25"/>
      <w:r>
        <w:rPr>
          <w:rFonts w:hint="default" w:ascii="Times New Roman" w:hAnsi="Times New Roman" w:eastAsia="仿宋" w:cs="Times New Roman"/>
          <w:color w:val="333333"/>
          <w:spacing w:val="8"/>
          <w:sz w:val="32"/>
          <w:szCs w:val="32"/>
          <w:lang w:eastAsia="zh-CN"/>
        </w:rPr>
        <w:t>《自然资源部农业农村部关于加强和改进永久基本农田保护工作的通知》；</w:t>
      </w:r>
    </w:p>
    <w:p w14:paraId="7A66F88F">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bookmarkStart w:id="26" w:name="bookmark97"/>
      <w:bookmarkEnd w:id="26"/>
      <w:r>
        <w:rPr>
          <w:rFonts w:hint="default" w:ascii="Times New Roman" w:hAnsi="Times New Roman" w:eastAsia="仿宋" w:cs="Times New Roman"/>
          <w:color w:val="333333"/>
          <w:spacing w:val="8"/>
          <w:sz w:val="32"/>
          <w:szCs w:val="32"/>
          <w:lang w:eastAsia="zh-CN"/>
        </w:rPr>
        <w:t>《自然资源部关于印发〈土地征收成片开发标准〉的通知》（自然资规〔2023〕7号）；</w:t>
      </w:r>
    </w:p>
    <w:p w14:paraId="05476E55">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bookmarkStart w:id="27" w:name="bookmark98"/>
      <w:bookmarkEnd w:id="27"/>
      <w:r>
        <w:rPr>
          <w:rFonts w:hint="default" w:ascii="Times New Roman" w:hAnsi="Times New Roman" w:eastAsia="仿宋" w:cs="Times New Roman"/>
          <w:color w:val="333333"/>
          <w:spacing w:val="8"/>
          <w:sz w:val="32"/>
          <w:szCs w:val="32"/>
          <w:lang w:eastAsia="zh-CN"/>
        </w:rPr>
        <w:t>《自然资源部国土空间用途管制司关于提供建设用地审查要点的函》</w:t>
      </w:r>
    </w:p>
    <w:p w14:paraId="658584E5">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pPr>
      <w:r>
        <w:rPr>
          <w:rFonts w:hint="default" w:ascii="Times New Roman" w:hAnsi="Times New Roman" w:eastAsia="仿宋" w:cs="Times New Roman"/>
          <w:color w:val="333333"/>
          <w:spacing w:val="8"/>
          <w:sz w:val="32"/>
          <w:szCs w:val="32"/>
          <w:lang w:val="en-US" w:eastAsia="zh-CN"/>
        </w:rPr>
        <w:t>《黑龙江省人民政府＜关于加强节约集约用地工作的通知＞》（黑政规〔2018〕11 号）。</w:t>
      </w:r>
    </w:p>
    <w:p w14:paraId="13720AA7">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pPr>
      <w:r>
        <w:rPr>
          <w:rFonts w:hint="default" w:ascii="Times New Roman" w:hAnsi="Times New Roman" w:eastAsia="仿宋" w:cs="Times New Roman"/>
          <w:color w:val="333333"/>
          <w:spacing w:val="8"/>
          <w:sz w:val="32"/>
          <w:szCs w:val="32"/>
          <w:lang w:val="en-US" w:eastAsia="zh-CN"/>
        </w:rPr>
        <w:t>《产业结构调整指导目录（2019年）》</w:t>
      </w:r>
    </w:p>
    <w:p w14:paraId="66A4A11A">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pPr>
      <w:r>
        <w:rPr>
          <w:rFonts w:hint="default" w:ascii="Times New Roman" w:hAnsi="Times New Roman" w:eastAsia="仿宋" w:cs="Times New Roman"/>
          <w:color w:val="333333"/>
          <w:spacing w:val="8"/>
          <w:sz w:val="32"/>
          <w:szCs w:val="32"/>
          <w:lang w:val="en-US" w:eastAsia="zh-CN"/>
        </w:rPr>
        <w:t>《黑龙江省人民政府＜关于加强节约集约用地工作的通知＞》（黑政规〔2018〕11 号）</w:t>
      </w:r>
    </w:p>
    <w:p w14:paraId="675DAE51">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pPr>
      <w:r>
        <w:rPr>
          <w:rFonts w:hint="default" w:ascii="Times New Roman" w:hAnsi="Times New Roman" w:eastAsia="仿宋" w:cs="Times New Roman"/>
          <w:color w:val="333333"/>
          <w:spacing w:val="8"/>
          <w:sz w:val="32"/>
          <w:szCs w:val="32"/>
          <w:lang w:val="en-US" w:eastAsia="zh-CN"/>
        </w:rPr>
        <w:t>《关于进一步规范土地征收成片开发方案编制工作的通知》》（黑自然资函〔2021〕731 号）</w:t>
      </w:r>
    </w:p>
    <w:p w14:paraId="01E67DA4">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pPr>
      <w:r>
        <w:rPr>
          <w:rFonts w:hint="default" w:ascii="Times New Roman" w:hAnsi="Times New Roman" w:eastAsia="仿宋" w:cs="Times New Roman"/>
          <w:color w:val="333333"/>
          <w:spacing w:val="8"/>
          <w:sz w:val="32"/>
          <w:szCs w:val="32"/>
          <w:lang w:val="en-US" w:eastAsia="zh-CN"/>
        </w:rPr>
        <w:t>《黑龙江省自然资源厅关于进一步规范土地征收成片开发方案编制报批工作的通知》（黑自然资发〔2024〕28号）</w:t>
      </w:r>
    </w:p>
    <w:p w14:paraId="131FBB80">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二.规范性引用文件</w:t>
      </w:r>
    </w:p>
    <w:p w14:paraId="7DFACA0C">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zh-TW" w:eastAsia="zh-TW"/>
        </w:rPr>
      </w:pPr>
      <w:r>
        <w:rPr>
          <w:rFonts w:hint="default" w:ascii="Times New Roman" w:hAnsi="Times New Roman" w:eastAsia="仿宋" w:cs="Times New Roman"/>
          <w:color w:val="333333"/>
          <w:spacing w:val="8"/>
          <w:sz w:val="32"/>
          <w:szCs w:val="32"/>
          <w:lang w:eastAsia="zh-CN"/>
        </w:rPr>
        <w:t xml:space="preserve">1.GB/T 21010-2017    </w:t>
      </w:r>
      <w:r>
        <w:rPr>
          <w:rFonts w:hint="default" w:ascii="Times New Roman" w:hAnsi="Times New Roman" w:eastAsia="仿宋" w:cs="Times New Roman"/>
          <w:color w:val="333333"/>
          <w:spacing w:val="8"/>
          <w:sz w:val="32"/>
          <w:szCs w:val="32"/>
          <w:lang w:val="zh-TW" w:eastAsia="zh-TW"/>
        </w:rPr>
        <w:t>土地利用现状分类；</w:t>
      </w:r>
    </w:p>
    <w:p w14:paraId="1D36412F">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 xml:space="preserve">2.GB3100-3102-1993   </w:t>
      </w:r>
      <w:r>
        <w:rPr>
          <w:rFonts w:hint="default" w:ascii="Times New Roman" w:hAnsi="Times New Roman" w:eastAsia="仿宋" w:cs="Times New Roman"/>
          <w:color w:val="333333"/>
          <w:spacing w:val="8"/>
          <w:sz w:val="32"/>
          <w:szCs w:val="32"/>
          <w:lang w:val="zh-TW" w:eastAsia="zh-TW"/>
        </w:rPr>
        <w:t>量和单位；</w:t>
      </w:r>
    </w:p>
    <w:p w14:paraId="29E913AC">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3.GB/T 19231-2003    土地基本术语；</w:t>
      </w:r>
    </w:p>
    <w:p w14:paraId="5EEA9992">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 xml:space="preserve">4.TD/T 1055-2019 </w:t>
      </w:r>
      <w:r>
        <w:rPr>
          <w:rFonts w:hint="default" w:ascii="Times New Roman" w:hAnsi="Times New Roman" w:eastAsia="仿宋" w:cs="Times New Roman"/>
          <w:color w:val="333333"/>
          <w:spacing w:val="8"/>
          <w:sz w:val="32"/>
          <w:szCs w:val="32"/>
          <w:lang w:val="en-US" w:eastAsia="zh-CN"/>
        </w:rPr>
        <w:t xml:space="preserve">    </w:t>
      </w:r>
      <w:r>
        <w:rPr>
          <w:rFonts w:hint="default" w:ascii="Times New Roman" w:hAnsi="Times New Roman" w:eastAsia="仿宋" w:cs="Times New Roman"/>
          <w:color w:val="333333"/>
          <w:spacing w:val="8"/>
          <w:sz w:val="32"/>
          <w:szCs w:val="32"/>
          <w:lang w:eastAsia="zh-CN"/>
        </w:rPr>
        <w:t>第三次全国国土调查技术规程；</w:t>
      </w:r>
    </w:p>
    <w:p w14:paraId="0326FDDC">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5.GB/T 28405-2012    农用地定级规程；</w:t>
      </w:r>
    </w:p>
    <w:p w14:paraId="3C7FBF64">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6.GB/T 28407-2012    农用地质量分等规程；</w:t>
      </w:r>
    </w:p>
    <w:p w14:paraId="20983FE3">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val="en-US" w:eastAsia="zh-CN"/>
        </w:rPr>
        <w:t>7</w:t>
      </w:r>
      <w:r>
        <w:rPr>
          <w:rFonts w:hint="default" w:ascii="Times New Roman" w:hAnsi="Times New Roman" w:eastAsia="仿宋" w:cs="Times New Roman"/>
          <w:color w:val="333333"/>
          <w:spacing w:val="8"/>
          <w:sz w:val="32"/>
          <w:szCs w:val="32"/>
          <w:lang w:eastAsia="zh-CN"/>
        </w:rPr>
        <w:t>.GB50442-2008      城市公共设施规划规范；</w:t>
      </w:r>
    </w:p>
    <w:p w14:paraId="6AD6EF83">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val="en-US" w:eastAsia="zh-CN"/>
        </w:rPr>
        <w:t>8</w:t>
      </w:r>
      <w:r>
        <w:rPr>
          <w:rFonts w:hint="default" w:ascii="Times New Roman" w:hAnsi="Times New Roman" w:eastAsia="仿宋" w:cs="Times New Roman"/>
          <w:color w:val="333333"/>
          <w:spacing w:val="8"/>
          <w:sz w:val="32"/>
          <w:szCs w:val="32"/>
          <w:lang w:eastAsia="zh-CN"/>
        </w:rPr>
        <w:t>.TD/T 1018-2008    建设用地节约集约利用评价规程；</w:t>
      </w:r>
    </w:p>
    <w:p w14:paraId="012EE952">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val="en-US" w:eastAsia="zh-CN"/>
        </w:rPr>
        <w:t>9</w:t>
      </w:r>
      <w:r>
        <w:rPr>
          <w:rFonts w:hint="default" w:ascii="Times New Roman" w:hAnsi="Times New Roman" w:eastAsia="仿宋" w:cs="Times New Roman"/>
          <w:color w:val="333333"/>
          <w:spacing w:val="8"/>
          <w:sz w:val="32"/>
          <w:szCs w:val="32"/>
          <w:lang w:eastAsia="zh-CN"/>
        </w:rPr>
        <w:t>.GB50137-2011    城市用地分类与规划建设用地标准；</w:t>
      </w:r>
    </w:p>
    <w:p w14:paraId="70CA51B0">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1</w:t>
      </w:r>
      <w:r>
        <w:rPr>
          <w:rFonts w:hint="default" w:ascii="Times New Roman" w:hAnsi="Times New Roman" w:eastAsia="仿宋" w:cs="Times New Roman"/>
          <w:color w:val="333333"/>
          <w:spacing w:val="8"/>
          <w:sz w:val="32"/>
          <w:szCs w:val="32"/>
          <w:lang w:val="en-US" w:eastAsia="zh-CN"/>
        </w:rPr>
        <w:t>0</w:t>
      </w:r>
      <w:r>
        <w:rPr>
          <w:rFonts w:hint="default" w:ascii="Times New Roman" w:hAnsi="Times New Roman" w:eastAsia="仿宋" w:cs="Times New Roman"/>
          <w:color w:val="333333"/>
          <w:spacing w:val="8"/>
          <w:sz w:val="32"/>
          <w:szCs w:val="32"/>
          <w:lang w:eastAsia="zh-CN"/>
        </w:rPr>
        <w:t>.国土空间调查、规划、用途管制用地用海分类指南；</w:t>
      </w:r>
    </w:p>
    <w:p w14:paraId="364348DD">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1</w:t>
      </w:r>
      <w:r>
        <w:rPr>
          <w:rFonts w:hint="default" w:ascii="Times New Roman" w:hAnsi="Times New Roman" w:eastAsia="仿宋" w:cs="Times New Roman"/>
          <w:color w:val="333333"/>
          <w:spacing w:val="8"/>
          <w:sz w:val="32"/>
          <w:szCs w:val="32"/>
          <w:lang w:val="en-US" w:eastAsia="zh-CN"/>
        </w:rPr>
        <w:t>1</w:t>
      </w:r>
      <w:r>
        <w:rPr>
          <w:rFonts w:hint="default" w:ascii="Times New Roman" w:hAnsi="Times New Roman" w:eastAsia="仿宋" w:cs="Times New Roman"/>
          <w:color w:val="333333"/>
          <w:spacing w:val="8"/>
          <w:sz w:val="32"/>
          <w:szCs w:val="32"/>
          <w:lang w:eastAsia="zh-CN"/>
        </w:rPr>
        <w:t>.城市居住区规划设计标准（2018）；</w:t>
      </w:r>
    </w:p>
    <w:p w14:paraId="446FDAF0">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1</w:t>
      </w:r>
      <w:r>
        <w:rPr>
          <w:rFonts w:hint="default" w:ascii="Times New Roman" w:hAnsi="Times New Roman" w:eastAsia="仿宋" w:cs="Times New Roman"/>
          <w:color w:val="333333"/>
          <w:spacing w:val="8"/>
          <w:sz w:val="32"/>
          <w:szCs w:val="32"/>
          <w:lang w:val="en-US" w:eastAsia="zh-CN"/>
        </w:rPr>
        <w:t>2</w:t>
      </w:r>
      <w:r>
        <w:rPr>
          <w:rFonts w:hint="default" w:ascii="Times New Roman" w:hAnsi="Times New Roman" w:eastAsia="仿宋" w:cs="Times New Roman"/>
          <w:color w:val="333333"/>
          <w:spacing w:val="8"/>
          <w:sz w:val="32"/>
          <w:szCs w:val="32"/>
          <w:lang w:eastAsia="zh-CN"/>
        </w:rPr>
        <w:t>.黑龙江省第三次全国国土调查实施细则；</w:t>
      </w:r>
    </w:p>
    <w:p w14:paraId="47DBFB04">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1</w:t>
      </w:r>
      <w:r>
        <w:rPr>
          <w:rFonts w:hint="default" w:ascii="Times New Roman" w:hAnsi="Times New Roman" w:eastAsia="仿宋" w:cs="Times New Roman"/>
          <w:color w:val="333333"/>
          <w:spacing w:val="8"/>
          <w:sz w:val="32"/>
          <w:szCs w:val="32"/>
          <w:lang w:val="en-US" w:eastAsia="zh-CN"/>
        </w:rPr>
        <w:t>3</w:t>
      </w:r>
      <w:r>
        <w:rPr>
          <w:rFonts w:hint="default" w:ascii="Times New Roman" w:hAnsi="Times New Roman" w:eastAsia="仿宋" w:cs="Times New Roman"/>
          <w:color w:val="333333"/>
          <w:spacing w:val="8"/>
          <w:sz w:val="32"/>
          <w:szCs w:val="32"/>
          <w:lang w:eastAsia="zh-CN"/>
        </w:rPr>
        <w:t>.《工业项目建设用地控制指标》；</w:t>
      </w:r>
    </w:p>
    <w:p w14:paraId="28C1549A">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1</w:t>
      </w:r>
      <w:r>
        <w:rPr>
          <w:rFonts w:hint="default" w:ascii="Times New Roman" w:hAnsi="Times New Roman" w:eastAsia="仿宋" w:cs="Times New Roman"/>
          <w:color w:val="333333"/>
          <w:spacing w:val="8"/>
          <w:sz w:val="32"/>
          <w:szCs w:val="32"/>
          <w:lang w:val="en-US" w:eastAsia="zh-CN"/>
        </w:rPr>
        <w:t>4</w:t>
      </w:r>
      <w:r>
        <w:rPr>
          <w:rFonts w:hint="default" w:ascii="Times New Roman" w:hAnsi="Times New Roman" w:eastAsia="仿宋" w:cs="Times New Roman"/>
          <w:color w:val="333333"/>
          <w:spacing w:val="8"/>
          <w:sz w:val="32"/>
          <w:szCs w:val="32"/>
          <w:lang w:eastAsia="zh-CN"/>
        </w:rPr>
        <w:t>.《</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国民经济和社会发展第十四个五年规划和二〇三五年远景目标纲要》；</w:t>
      </w:r>
    </w:p>
    <w:p w14:paraId="1C2DB16E">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val="en-US" w:eastAsia="zh-CN"/>
        </w:rPr>
        <w:t>15.</w:t>
      </w:r>
      <w:r>
        <w:rPr>
          <w:rFonts w:hint="default" w:ascii="Times New Roman" w:hAnsi="Times New Roman" w:eastAsia="仿宋" w:cs="Times New Roman"/>
          <w:color w:val="333333"/>
          <w:spacing w:val="8"/>
          <w:sz w:val="32"/>
          <w:szCs w:val="32"/>
          <w:lang w:eastAsia="zh-CN"/>
        </w:rPr>
        <w:t>《鸡西市人民政府关于调整鸡西市征地区片综合地价的通知》（鸡政规〔</w:t>
      </w:r>
      <w:r>
        <w:rPr>
          <w:rFonts w:hint="default" w:ascii="Times New Roman" w:hAnsi="Times New Roman" w:eastAsia="仿宋" w:cs="Times New Roman"/>
          <w:color w:val="333333"/>
          <w:spacing w:val="8"/>
          <w:sz w:val="32"/>
          <w:szCs w:val="32"/>
          <w:lang w:val="en-US" w:eastAsia="zh-CN"/>
        </w:rPr>
        <w:t>2023</w:t>
      </w:r>
      <w:r>
        <w:rPr>
          <w:rFonts w:hint="default" w:ascii="Times New Roman" w:hAnsi="Times New Roman" w:eastAsia="仿宋" w:cs="Times New Roman"/>
          <w:color w:val="333333"/>
          <w:spacing w:val="8"/>
          <w:sz w:val="32"/>
          <w:szCs w:val="32"/>
          <w:lang w:eastAsia="zh-CN"/>
        </w:rPr>
        <w:t>〕</w:t>
      </w:r>
      <w:r>
        <w:rPr>
          <w:rFonts w:hint="default" w:ascii="Times New Roman" w:hAnsi="Times New Roman" w:eastAsia="仿宋" w:cs="Times New Roman"/>
          <w:color w:val="333333"/>
          <w:spacing w:val="8"/>
          <w:sz w:val="32"/>
          <w:szCs w:val="32"/>
          <w:lang w:val="en-US" w:eastAsia="zh-CN"/>
        </w:rPr>
        <w:t>2号</w:t>
      </w:r>
      <w:r>
        <w:rPr>
          <w:rFonts w:hint="default" w:ascii="Times New Roman" w:hAnsi="Times New Roman" w:eastAsia="仿宋" w:cs="Times New Roman"/>
          <w:color w:val="333333"/>
          <w:spacing w:val="8"/>
          <w:sz w:val="32"/>
          <w:szCs w:val="32"/>
          <w:lang w:eastAsia="zh-CN"/>
        </w:rPr>
        <w:t>）；</w:t>
      </w:r>
    </w:p>
    <w:p w14:paraId="27B805CB">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val="en-US" w:eastAsia="zh-CN"/>
        </w:rPr>
        <w:t>16.</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val="en-US" w:eastAsia="zh-CN"/>
        </w:rPr>
        <w:t>2023</w:t>
      </w:r>
      <w:r>
        <w:rPr>
          <w:rFonts w:hint="default" w:ascii="Times New Roman" w:hAnsi="Times New Roman" w:eastAsia="仿宋" w:cs="Times New Roman"/>
          <w:color w:val="333333"/>
          <w:spacing w:val="8"/>
          <w:sz w:val="32"/>
          <w:szCs w:val="32"/>
          <w:lang w:eastAsia="zh-CN"/>
        </w:rPr>
        <w:t>年度国土变更调查数据</w:t>
      </w:r>
    </w:p>
    <w:p w14:paraId="0294A862">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pPr>
      <w:r>
        <w:rPr>
          <w:rFonts w:hint="default" w:ascii="Times New Roman" w:hAnsi="Times New Roman" w:eastAsia="仿宋" w:cs="Times New Roman"/>
          <w:color w:val="333333"/>
          <w:spacing w:val="8"/>
          <w:sz w:val="32"/>
          <w:szCs w:val="32"/>
          <w:lang w:val="en-US" w:eastAsia="zh-CN"/>
        </w:rPr>
        <w:t>17</w:t>
      </w:r>
      <w:r>
        <w:rPr>
          <w:rFonts w:hint="default" w:ascii="Times New Roman" w:hAnsi="Times New Roman" w:eastAsia="仿宋" w:cs="Times New Roman"/>
          <w:color w:val="333333"/>
          <w:spacing w:val="8"/>
          <w:sz w:val="32"/>
          <w:szCs w:val="32"/>
          <w:lang w:eastAsia="zh-CN"/>
        </w:rPr>
        <w:t>.</w:t>
      </w:r>
      <w:r>
        <w:rPr>
          <w:rFonts w:hint="default" w:ascii="Times New Roman" w:hAnsi="Times New Roman" w:eastAsia="仿宋" w:cs="Times New Roman"/>
          <w:color w:val="333333"/>
          <w:spacing w:val="8"/>
          <w:sz w:val="32"/>
          <w:szCs w:val="32"/>
          <w:lang w:val="en-US" w:eastAsia="zh-CN"/>
        </w:rPr>
        <w:t>《</w:t>
      </w:r>
      <w:r>
        <w:rPr>
          <w:rFonts w:hint="eastAsia" w:ascii="Times New Roman" w:hAnsi="Times New Roman" w:eastAsia="仿宋" w:cs="Times New Roman"/>
          <w:color w:val="333333"/>
          <w:spacing w:val="8"/>
          <w:sz w:val="32"/>
          <w:szCs w:val="32"/>
          <w:lang w:val="en-US" w:eastAsia="zh-CN"/>
        </w:rPr>
        <w:t>鸡东县</w:t>
      </w:r>
      <w:r>
        <w:rPr>
          <w:rFonts w:hint="default" w:ascii="Times New Roman" w:hAnsi="Times New Roman" w:eastAsia="仿宋" w:cs="Times New Roman"/>
          <w:color w:val="333333"/>
          <w:spacing w:val="8"/>
          <w:sz w:val="32"/>
          <w:szCs w:val="32"/>
          <w:lang w:val="en-US" w:eastAsia="zh-CN"/>
        </w:rPr>
        <w:t>国土空间总体规划》（2021-2035</w:t>
      </w:r>
      <w:r>
        <w:rPr>
          <w:rFonts w:hint="default" w:ascii="Times New Roman" w:hAnsi="Times New Roman" w:eastAsia="仿宋" w:cs="Times New Roman"/>
          <w:color w:val="333333"/>
          <w:spacing w:val="8"/>
          <w:sz w:val="32"/>
          <w:szCs w:val="32"/>
          <w:lang w:val="en" w:eastAsia="zh-CN"/>
        </w:rPr>
        <w:t>年</w:t>
      </w:r>
      <w:r>
        <w:rPr>
          <w:rFonts w:hint="default" w:ascii="Times New Roman" w:hAnsi="Times New Roman" w:eastAsia="仿宋" w:cs="Times New Roman"/>
          <w:color w:val="333333"/>
          <w:spacing w:val="8"/>
          <w:sz w:val="32"/>
          <w:szCs w:val="32"/>
          <w:lang w:val="en-US" w:eastAsia="zh-CN"/>
        </w:rPr>
        <w:t>）</w:t>
      </w:r>
    </w:p>
    <w:p w14:paraId="6048B409">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val="en-US" w:eastAsia="zh-CN"/>
        </w:rPr>
        <w:t>18</w:t>
      </w:r>
      <w:r>
        <w:rPr>
          <w:rFonts w:hint="default" w:ascii="Times New Roman" w:hAnsi="Times New Roman" w:eastAsia="仿宋" w:cs="Times New Roman"/>
          <w:color w:val="333333"/>
          <w:spacing w:val="8"/>
          <w:sz w:val="32"/>
          <w:szCs w:val="32"/>
          <w:lang w:eastAsia="zh-CN"/>
        </w:rPr>
        <w:t>.</w:t>
      </w:r>
      <w:r>
        <w:rPr>
          <w:rFonts w:hint="eastAsia" w:ascii="Times New Roman" w:hAnsi="Times New Roman" w:eastAsia="仿宋" w:cs="Times New Roman"/>
          <w:color w:val="333333"/>
          <w:spacing w:val="8"/>
          <w:sz w:val="32"/>
          <w:szCs w:val="32"/>
          <w:lang w:val="en-US" w:eastAsia="zh-CN"/>
        </w:rPr>
        <w:t>鸡东县</w:t>
      </w:r>
      <w:r>
        <w:rPr>
          <w:rFonts w:hint="default" w:ascii="Times New Roman" w:hAnsi="Times New Roman" w:eastAsia="仿宋" w:cs="Times New Roman"/>
          <w:color w:val="333333"/>
          <w:spacing w:val="8"/>
          <w:sz w:val="32"/>
          <w:szCs w:val="32"/>
          <w:lang w:val="en-US" w:eastAsia="zh-CN"/>
        </w:rPr>
        <w:t>“三区三线”划定成果</w:t>
      </w:r>
    </w:p>
    <w:p w14:paraId="58019BDC">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val="en-US" w:eastAsia="zh-CN"/>
        </w:rPr>
        <w:t>1</w:t>
      </w:r>
      <w:r>
        <w:rPr>
          <w:rFonts w:hint="eastAsia" w:ascii="Times New Roman" w:hAnsi="Times New Roman" w:eastAsia="仿宋" w:cs="Times New Roman"/>
          <w:color w:val="333333"/>
          <w:spacing w:val="8"/>
          <w:sz w:val="32"/>
          <w:szCs w:val="32"/>
          <w:lang w:val="en-US" w:eastAsia="zh-CN"/>
        </w:rPr>
        <w:t>9</w:t>
      </w:r>
      <w:r>
        <w:rPr>
          <w:rFonts w:hint="default" w:ascii="Times New Roman" w:hAnsi="Times New Roman" w:eastAsia="仿宋" w:cs="Times New Roman"/>
          <w:color w:val="333333"/>
          <w:spacing w:val="8"/>
          <w:sz w:val="32"/>
          <w:szCs w:val="32"/>
          <w:lang w:eastAsia="zh-CN"/>
        </w:rPr>
        <w:t>.其他相关技术资料。</w:t>
      </w:r>
    </w:p>
    <w:p w14:paraId="06318149">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28" w:name="_Toc2838"/>
      <w:bookmarkStart w:id="29" w:name="_Toc4407"/>
      <w:r>
        <w:rPr>
          <w:rFonts w:hint="default" w:ascii="Times New Roman" w:hAnsi="Times New Roman" w:eastAsia="方正楷体_GB2312" w:cs="Times New Roman"/>
        </w:rPr>
        <w:t>1.4编制目的</w:t>
      </w:r>
      <w:bookmarkEnd w:id="28"/>
      <w:bookmarkEnd w:id="29"/>
    </w:p>
    <w:p w14:paraId="4A9A6DB9">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根据《土地管理法》第45条的规定，深入贯彻落实《土地征收成片开发标准》（自然资规〔2023〕7号）与“十四五”规划和土地利用总体规划编制相结合，统筹兼顾，坚持新发展理念，以人民为中心，注重保护耕地、维护农民合法权益、节约集约用地、生态环境保护为目的，编制本次《</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2025年度土地征收成片开发方案》。将进一步明确征地范围、规范征地程序、合理确定成片开发范围的边界，统筹产业布局，完善对被征地农民合理规范多元保障机制，促进当地经济社会可持续发展，保障项目用地。</w:t>
      </w:r>
    </w:p>
    <w:p w14:paraId="163A44B0">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30" w:name="_Toc7925"/>
      <w:bookmarkStart w:id="31" w:name="_Toc17601"/>
      <w:r>
        <w:rPr>
          <w:rFonts w:hint="default" w:ascii="Times New Roman" w:hAnsi="Times New Roman" w:eastAsia="方正楷体_GB2312" w:cs="Times New Roman"/>
        </w:rPr>
        <w:t>1.5编制条件</w:t>
      </w:r>
      <w:bookmarkEnd w:id="30"/>
      <w:bookmarkEnd w:id="31"/>
    </w:p>
    <w:p w14:paraId="324451DC">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highlight w:val="none"/>
          <w:lang w:eastAsia="zh-CN"/>
        </w:rPr>
      </w:pPr>
      <w:r>
        <w:rPr>
          <w:rFonts w:hint="default" w:ascii="Times New Roman" w:hAnsi="Times New Roman" w:eastAsia="仿宋" w:cs="Times New Roman"/>
          <w:color w:val="333333"/>
          <w:spacing w:val="8"/>
          <w:sz w:val="32"/>
          <w:szCs w:val="32"/>
          <w:lang w:eastAsia="zh-CN"/>
        </w:rPr>
        <w:t>本次成片开发方案涉及项目位于经自然资源部批准使用的城镇开发边界内，不占用永久基本农田；不占用生态保护红线；</w:t>
      </w:r>
      <w:r>
        <w:rPr>
          <w:rFonts w:hint="eastAsia" w:ascii="Times New Roman" w:hAnsi="Times New Roman" w:eastAsia="仿宋" w:cs="Times New Roman"/>
          <w:color w:val="333333"/>
          <w:spacing w:val="8"/>
          <w:sz w:val="32"/>
          <w:szCs w:val="32"/>
          <w:lang w:val="en-US" w:eastAsia="zh-CN"/>
        </w:rPr>
        <w:t>鸡东县</w:t>
      </w:r>
      <w:r>
        <w:rPr>
          <w:rFonts w:hint="default" w:ascii="Times New Roman" w:hAnsi="Times New Roman" w:eastAsia="仿宋" w:cs="Times New Roman"/>
          <w:color w:val="333333"/>
          <w:spacing w:val="8"/>
          <w:sz w:val="32"/>
          <w:szCs w:val="32"/>
          <w:highlight w:val="none"/>
          <w:lang w:eastAsia="zh-CN"/>
        </w:rPr>
        <w:t>完成了上年度批而未供和闲置土地消化处置达到省厅要求；黑龙江</w:t>
      </w:r>
      <w:r>
        <w:rPr>
          <w:rFonts w:hint="eastAsia" w:ascii="Times New Roman" w:hAnsi="Times New Roman" w:eastAsia="仿宋" w:cs="Times New Roman"/>
          <w:color w:val="333333"/>
          <w:spacing w:val="8"/>
          <w:sz w:val="32"/>
          <w:szCs w:val="32"/>
          <w:highlight w:val="none"/>
          <w:lang w:val="en-US" w:eastAsia="zh-CN"/>
        </w:rPr>
        <w:t>鸡东</w:t>
      </w:r>
      <w:r>
        <w:rPr>
          <w:rFonts w:hint="default" w:ascii="Times New Roman" w:hAnsi="Times New Roman" w:eastAsia="仿宋" w:cs="Times New Roman"/>
          <w:color w:val="333333"/>
          <w:spacing w:val="8"/>
          <w:sz w:val="32"/>
          <w:szCs w:val="32"/>
          <w:highlight w:val="none"/>
          <w:lang w:eastAsia="zh-CN"/>
        </w:rPr>
        <w:t>化工产业园最新年度土地集约利用现状状况综合评价分值大于70且在202</w:t>
      </w:r>
      <w:r>
        <w:rPr>
          <w:rFonts w:hint="default" w:ascii="Times New Roman" w:hAnsi="Times New Roman" w:eastAsia="仿宋" w:cs="Times New Roman"/>
          <w:color w:val="333333"/>
          <w:spacing w:val="8"/>
          <w:sz w:val="32"/>
          <w:szCs w:val="32"/>
          <w:highlight w:val="none"/>
          <w:lang w:val="en-US" w:eastAsia="zh-CN"/>
        </w:rPr>
        <w:t>2</w:t>
      </w:r>
      <w:r>
        <w:rPr>
          <w:rFonts w:hint="default" w:ascii="Times New Roman" w:hAnsi="Times New Roman" w:eastAsia="仿宋" w:cs="Times New Roman"/>
          <w:color w:val="333333"/>
          <w:spacing w:val="8"/>
          <w:sz w:val="32"/>
          <w:szCs w:val="32"/>
          <w:highlight w:val="none"/>
          <w:lang w:eastAsia="zh-CN"/>
        </w:rPr>
        <w:t>年度开发区土地集约利用监测统计中排名第</w:t>
      </w:r>
      <w:r>
        <w:rPr>
          <w:rFonts w:hint="eastAsia" w:ascii="Times New Roman" w:hAnsi="Times New Roman" w:eastAsia="仿宋" w:cs="Times New Roman"/>
          <w:color w:val="333333"/>
          <w:spacing w:val="8"/>
          <w:sz w:val="32"/>
          <w:szCs w:val="32"/>
          <w:highlight w:val="none"/>
          <w:lang w:val="en-US" w:eastAsia="zh-CN"/>
        </w:rPr>
        <w:t>1</w:t>
      </w:r>
      <w:r>
        <w:rPr>
          <w:rFonts w:hint="default" w:ascii="Times New Roman" w:hAnsi="Times New Roman" w:eastAsia="仿宋" w:cs="Times New Roman"/>
          <w:color w:val="333333"/>
          <w:spacing w:val="8"/>
          <w:sz w:val="32"/>
          <w:szCs w:val="32"/>
          <w:highlight w:val="none"/>
          <w:lang w:eastAsia="zh-CN"/>
        </w:rPr>
        <w:t>名；</w:t>
      </w:r>
      <w:r>
        <w:rPr>
          <w:rFonts w:hint="eastAsia" w:ascii="Times New Roman" w:hAnsi="Times New Roman" w:eastAsia="仿宋" w:cs="Times New Roman"/>
          <w:color w:val="auto"/>
          <w:spacing w:val="8"/>
          <w:sz w:val="32"/>
          <w:szCs w:val="32"/>
          <w:highlight w:val="none"/>
          <w:lang w:eastAsia="zh-CN"/>
        </w:rPr>
        <w:t>鸡东县</w:t>
      </w:r>
      <w:r>
        <w:rPr>
          <w:rFonts w:hint="default" w:ascii="Times New Roman" w:hAnsi="Times New Roman" w:eastAsia="仿宋" w:cs="Times New Roman"/>
          <w:color w:val="auto"/>
          <w:spacing w:val="8"/>
          <w:sz w:val="32"/>
          <w:szCs w:val="32"/>
          <w:highlight w:val="none"/>
          <w:lang w:eastAsia="zh-CN"/>
        </w:rPr>
        <w:t>辖区内</w:t>
      </w:r>
      <w:r>
        <w:rPr>
          <w:rFonts w:hint="eastAsia" w:ascii="Times New Roman" w:hAnsi="Times New Roman" w:eastAsia="仿宋" w:cs="Times New Roman"/>
          <w:color w:val="auto"/>
          <w:spacing w:val="8"/>
          <w:sz w:val="32"/>
          <w:szCs w:val="32"/>
          <w:highlight w:val="none"/>
          <w:lang w:val="en-US" w:eastAsia="zh-CN"/>
        </w:rPr>
        <w:t>于2021年、2022年</w:t>
      </w:r>
      <w:r>
        <w:rPr>
          <w:rFonts w:hint="default" w:ascii="Times New Roman" w:hAnsi="Times New Roman" w:eastAsia="仿宋" w:cs="Times New Roman"/>
          <w:color w:val="auto"/>
          <w:spacing w:val="8"/>
          <w:sz w:val="32"/>
          <w:szCs w:val="32"/>
          <w:highlight w:val="none"/>
          <w:lang w:eastAsia="zh-CN"/>
        </w:rPr>
        <w:t>已批准的土地征收成片开发方案,</w:t>
      </w:r>
      <w:r>
        <w:rPr>
          <w:rFonts w:hint="eastAsia" w:ascii="Times New Roman" w:hAnsi="Times New Roman" w:eastAsia="仿宋" w:cs="Times New Roman"/>
          <w:color w:val="auto"/>
          <w:spacing w:val="8"/>
          <w:sz w:val="32"/>
          <w:szCs w:val="32"/>
          <w:highlight w:val="none"/>
          <w:lang w:val="en-US" w:eastAsia="zh-CN"/>
        </w:rPr>
        <w:t>目前正在积极实施，</w:t>
      </w:r>
      <w:r>
        <w:rPr>
          <w:rFonts w:hint="default" w:ascii="Times New Roman" w:hAnsi="Times New Roman" w:eastAsia="仿宋" w:cs="Times New Roman"/>
          <w:color w:val="333333"/>
          <w:spacing w:val="8"/>
          <w:sz w:val="32"/>
          <w:szCs w:val="32"/>
          <w:highlight w:val="none"/>
          <w:lang w:eastAsia="zh-CN"/>
        </w:rPr>
        <w:t>符合编报成片开发方案条件。</w:t>
      </w:r>
    </w:p>
    <w:p w14:paraId="3E9B0A2C">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32" w:name="_Toc30598"/>
      <w:bookmarkStart w:id="33" w:name="_Toc30212"/>
      <w:r>
        <w:rPr>
          <w:rFonts w:hint="default" w:ascii="Times New Roman" w:hAnsi="Times New Roman" w:eastAsia="方正楷体_GB2312" w:cs="Times New Roman"/>
        </w:rPr>
        <w:t>1.6实施周期</w:t>
      </w:r>
      <w:bookmarkEnd w:id="32"/>
      <w:bookmarkEnd w:id="33"/>
    </w:p>
    <w:p w14:paraId="2ED4BE64">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综合考虑当地社会经济发展状况、市场需求情况、资金筹措等因素，本方案实施期为</w:t>
      </w:r>
      <w:r>
        <w:rPr>
          <w:rFonts w:hint="eastAsia" w:ascii="Times New Roman" w:hAnsi="Times New Roman" w:eastAsia="仿宋" w:cs="Times New Roman"/>
          <w:color w:val="333333"/>
          <w:spacing w:val="8"/>
          <w:sz w:val="32"/>
          <w:szCs w:val="32"/>
          <w:lang w:val="en-US" w:eastAsia="zh-CN"/>
        </w:rPr>
        <w:t>三</w:t>
      </w:r>
      <w:r>
        <w:rPr>
          <w:rFonts w:hint="default" w:ascii="Times New Roman" w:hAnsi="Times New Roman" w:eastAsia="仿宋" w:cs="Times New Roman"/>
          <w:color w:val="333333"/>
          <w:spacing w:val="8"/>
          <w:sz w:val="32"/>
          <w:szCs w:val="32"/>
          <w:lang w:eastAsia="zh-CN"/>
        </w:rPr>
        <w:t>年（202</w:t>
      </w:r>
      <w:r>
        <w:rPr>
          <w:rFonts w:hint="default" w:ascii="Times New Roman" w:hAnsi="Times New Roman" w:eastAsia="仿宋" w:cs="Times New Roman"/>
          <w:color w:val="333333"/>
          <w:spacing w:val="8"/>
          <w:sz w:val="32"/>
          <w:szCs w:val="32"/>
          <w:lang w:val="en-US" w:eastAsia="zh-CN"/>
        </w:rPr>
        <w:t>5</w:t>
      </w:r>
      <w:r>
        <w:rPr>
          <w:rFonts w:hint="default" w:ascii="Times New Roman" w:hAnsi="Times New Roman" w:eastAsia="仿宋" w:cs="Times New Roman"/>
          <w:color w:val="333333"/>
          <w:spacing w:val="8"/>
          <w:sz w:val="32"/>
          <w:szCs w:val="32"/>
          <w:lang w:eastAsia="zh-CN"/>
        </w:rPr>
        <w:t>年-202</w:t>
      </w:r>
      <w:r>
        <w:rPr>
          <w:rFonts w:hint="eastAsia" w:ascii="Times New Roman" w:hAnsi="Times New Roman" w:eastAsia="仿宋" w:cs="Times New Roman"/>
          <w:color w:val="333333"/>
          <w:spacing w:val="8"/>
          <w:sz w:val="32"/>
          <w:szCs w:val="32"/>
          <w:lang w:val="en-US" w:eastAsia="zh-CN"/>
        </w:rPr>
        <w:t>7</w:t>
      </w:r>
      <w:r>
        <w:rPr>
          <w:rFonts w:hint="default" w:ascii="Times New Roman" w:hAnsi="Times New Roman" w:eastAsia="仿宋" w:cs="Times New Roman"/>
          <w:color w:val="333333"/>
          <w:spacing w:val="8"/>
          <w:sz w:val="32"/>
          <w:szCs w:val="32"/>
          <w:lang w:eastAsia="zh-CN"/>
        </w:rPr>
        <w:t>年）。</w:t>
      </w:r>
    </w:p>
    <w:p w14:paraId="59D4E2D9">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2601A400">
      <w:pPr>
        <w:pStyle w:val="2"/>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黑体" w:cs="Times New Roman"/>
          <w:sz w:val="32"/>
          <w:szCs w:val="32"/>
        </w:rPr>
      </w:pPr>
      <w:bookmarkStart w:id="34" w:name="_Toc1753"/>
      <w:bookmarkStart w:id="35" w:name="_Toc27504"/>
      <w:r>
        <w:rPr>
          <w:rFonts w:hint="default" w:ascii="Times New Roman" w:hAnsi="Times New Roman" w:eastAsia="黑体" w:cs="Times New Roman"/>
          <w:sz w:val="32"/>
          <w:szCs w:val="32"/>
        </w:rPr>
        <w:t>2.基本情况</w:t>
      </w:r>
      <w:bookmarkEnd w:id="34"/>
      <w:bookmarkEnd w:id="35"/>
    </w:p>
    <w:p w14:paraId="5DC70F0A">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36" w:name="_Toc19755"/>
      <w:bookmarkStart w:id="37" w:name="_Toc26901"/>
      <w:r>
        <w:rPr>
          <w:rFonts w:hint="default" w:ascii="Times New Roman" w:hAnsi="Times New Roman" w:eastAsia="方正楷体_GB2312" w:cs="Times New Roman"/>
        </w:rPr>
        <w:t>2.1</w:t>
      </w:r>
      <w:r>
        <w:rPr>
          <w:rFonts w:hint="eastAsia" w:ascii="Times New Roman" w:hAnsi="Times New Roman" w:eastAsia="方正楷体_GB2312" w:cs="Times New Roman"/>
          <w:lang w:val="en-US" w:eastAsia="zh-CN"/>
        </w:rPr>
        <w:t>鸡东县</w:t>
      </w:r>
      <w:r>
        <w:rPr>
          <w:rFonts w:hint="default" w:ascii="Times New Roman" w:hAnsi="Times New Roman" w:eastAsia="方正楷体_GB2312" w:cs="Times New Roman"/>
        </w:rPr>
        <w:t>概况</w:t>
      </w:r>
      <w:bookmarkEnd w:id="36"/>
      <w:bookmarkEnd w:id="37"/>
    </w:p>
    <w:p w14:paraId="0F6FEB3F">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Times New Roman" w:hAnsi="Times New Roman" w:eastAsia="仿宋" w:cs="Times New Roman"/>
          <w:color w:val="333333"/>
          <w:spacing w:val="8"/>
          <w:sz w:val="32"/>
          <w:szCs w:val="32"/>
          <w:lang w:eastAsia="zh-CN"/>
        </w:rPr>
      </w:pPr>
      <w:r>
        <w:rPr>
          <w:rFonts w:hint="eastAsia" w:ascii="Times New Roman" w:hAnsi="Times New Roman" w:eastAsia="仿宋" w:cs="Times New Roman"/>
          <w:color w:val="333333"/>
          <w:spacing w:val="8"/>
          <w:sz w:val="32"/>
          <w:szCs w:val="32"/>
          <w:lang w:eastAsia="zh-CN"/>
        </w:rPr>
        <w:t>鸡东1965年建县，位于黑龙江省东南部，属边境县份，与俄罗斯陆路接壤111公里，总面积3243平方公里，地处中纬度，属大陆性季风气候，地貌特征为“七山半水二分半田”。下辖8镇3乡123个行政村。2023年末，全县户籍总人口25.4125万人，其中农业人口17.4434万人，非农业人口7.9691万人，男性12.9795万人，女性12.6601万人。年末全县常住人口为20.2万人。</w:t>
      </w:r>
    </w:p>
    <w:p w14:paraId="4DC68AF6">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Times New Roman" w:hAnsi="Times New Roman" w:eastAsia="仿宋" w:cs="Times New Roman"/>
          <w:color w:val="333333"/>
          <w:spacing w:val="8"/>
          <w:sz w:val="32"/>
          <w:szCs w:val="32"/>
          <w:lang w:eastAsia="zh-CN"/>
        </w:rPr>
      </w:pPr>
      <w:r>
        <w:rPr>
          <w:rFonts w:hint="eastAsia" w:ascii="Times New Roman" w:hAnsi="Times New Roman" w:eastAsia="仿宋" w:cs="Times New Roman"/>
          <w:color w:val="333333"/>
          <w:spacing w:val="8"/>
          <w:sz w:val="32"/>
          <w:szCs w:val="32"/>
          <w:lang w:eastAsia="zh-CN"/>
        </w:rPr>
        <w:t>历史悠久，文化底蕴深厚。鸡东人杰地灵，是宜居宜游的秀美边城。富饶的黑土地上，承载着千年靺鞨古城、特色朝鲜风情，更是红灯记故事发生地，肃慎文化、民俗文化、红色文化交相辉映。</w:t>
      </w:r>
    </w:p>
    <w:p w14:paraId="1C6C9725">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Times New Roman" w:hAnsi="Times New Roman" w:eastAsia="仿宋" w:cs="Times New Roman"/>
          <w:color w:val="333333"/>
          <w:spacing w:val="8"/>
          <w:sz w:val="32"/>
          <w:szCs w:val="32"/>
          <w:lang w:eastAsia="zh-CN"/>
        </w:rPr>
      </w:pPr>
      <w:r>
        <w:rPr>
          <w:rFonts w:hint="eastAsia" w:ascii="Times New Roman" w:hAnsi="Times New Roman" w:eastAsia="仿宋" w:cs="Times New Roman"/>
          <w:color w:val="333333"/>
          <w:spacing w:val="8"/>
          <w:sz w:val="32"/>
          <w:szCs w:val="32"/>
          <w:lang w:eastAsia="zh-CN"/>
        </w:rPr>
        <w:t>交通便利，区位优势明显。鸡东县城距哈尔滨461.7公里，距当壁镇、吉祥、绥芬河三个口岸分别为100公里、230公里和250公里，距鸡西市区15公里。国家铁路林密线、201国道、方虎公路和建鸡高速公路贯穿东西，县城距兴凯湖机场仅8分钟车程，构成了铁路、公路、航空立体式的交通网络。</w:t>
      </w:r>
    </w:p>
    <w:p w14:paraId="6A296E54">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eastAsia" w:ascii="Times New Roman" w:hAnsi="Times New Roman" w:eastAsia="仿宋" w:cs="Times New Roman"/>
          <w:color w:val="333333"/>
          <w:spacing w:val="8"/>
          <w:sz w:val="32"/>
          <w:szCs w:val="32"/>
          <w:lang w:eastAsia="zh-CN"/>
        </w:rPr>
        <w:t>物产丰厚，地下矿藏富集。鸡东被誉为“龙江矿产资源大县”。现已发现各类矿产44种，其中，莹石、水晶、熔炼水晶、铂、钯的储量均列全省第1位，煤炭资源可采储量18亿吨，硅藻土储量92亿吨。盛产水稻、玉米、大豆、瓜菜、烤烟、紫苏等粮食和经济作物。粮食产量稳定在15亿斤以上。森林覆盖率达46.1%，盛产人参、松茸等300余种野生中药材和榛蘑、榛子、蕨菜等50余种山特产品。有主要河流13条和大中小型水库14座，水域面积162平方公里。</w:t>
      </w:r>
    </w:p>
    <w:p w14:paraId="651C226B">
      <w:pPr>
        <w:pStyle w:val="37"/>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38" w:name="_Toc7103"/>
      <w:bookmarkStart w:id="39" w:name="_Toc11611"/>
      <w:r>
        <w:rPr>
          <w:rFonts w:hint="default" w:ascii="Times New Roman" w:hAnsi="Times New Roman" w:eastAsia="方正仿宋_GB18030" w:cs="Times New Roman"/>
          <w:sz w:val="32"/>
          <w:szCs w:val="32"/>
          <w:lang w:val="en-US" w:eastAsia="zh-CN"/>
        </w:rPr>
        <w:t>2.2.1地理位置及行政区划</w:t>
      </w:r>
      <w:bookmarkEnd w:id="38"/>
      <w:bookmarkEnd w:id="39"/>
    </w:p>
    <w:p w14:paraId="67C5D8F5">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val="en-US" w:eastAsia="zh-CN"/>
        </w:rPr>
        <w:t>2.2.1.1地理位置</w:t>
      </w:r>
    </w:p>
    <w:p w14:paraId="2CBE54F6">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pPr>
      <w:r>
        <w:rPr>
          <w:rFonts w:hint="eastAsia" w:ascii="Times New Roman" w:hAnsi="Times New Roman" w:eastAsia="仿宋" w:cs="Times New Roman"/>
          <w:color w:val="333333"/>
          <w:spacing w:val="8"/>
          <w:sz w:val="32"/>
          <w:szCs w:val="32"/>
          <w:lang w:val="en-US" w:eastAsia="zh-CN"/>
        </w:rPr>
        <w:t>鸡东县位于黑龙江省东南部，地处北纬44°51—45°41′，东经130°40—131°41′之间。西与林口县、穆棱县、鸡西市毗邻；北与勃利县、七台河市相界接；南与俄罗斯交界，边界线长113.5公里，南北长91公里，东西长72.5公里。境内有201国道、方虎公路、鸡密南线公路和滨洲铁路通过，并与哈尔滨、鸡西、牡丹江有高速公路相连，对外交通十分方便，是鸡西市所管辖的县级县。</w:t>
      </w:r>
    </w:p>
    <w:p w14:paraId="235E8E2C">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pPr>
      <w:r>
        <w:rPr>
          <w:rFonts w:hint="default" w:ascii="Times New Roman" w:hAnsi="Times New Roman" w:eastAsia="仿宋" w:cs="Times New Roman"/>
          <w:color w:val="333333"/>
          <w:spacing w:val="8"/>
          <w:sz w:val="32"/>
          <w:szCs w:val="32"/>
          <w:lang w:val="en-US" w:eastAsia="zh-CN"/>
        </w:rPr>
        <w:t>2.2.1.2行政区划</w:t>
      </w:r>
      <w:r>
        <w:rPr>
          <w:rFonts w:hint="eastAsia" w:ascii="Times New Roman" w:hAnsi="Times New Roman" w:eastAsia="仿宋" w:cs="Times New Roman"/>
          <w:color w:val="333333"/>
          <w:spacing w:val="8"/>
          <w:sz w:val="32"/>
          <w:szCs w:val="32"/>
          <w:lang w:val="en-US" w:eastAsia="zh-CN"/>
        </w:rPr>
        <w:t>及人口</w:t>
      </w:r>
    </w:p>
    <w:p w14:paraId="112B1963">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Times New Roman" w:hAnsi="Times New Roman" w:eastAsia="仿宋" w:cs="Times New Roman"/>
          <w:color w:val="333333"/>
          <w:spacing w:val="8"/>
          <w:sz w:val="32"/>
          <w:szCs w:val="32"/>
          <w:lang w:val="en-US" w:eastAsia="zh-CN"/>
        </w:rPr>
      </w:pPr>
      <w:r>
        <w:rPr>
          <w:rFonts w:hint="eastAsia" w:ascii="Times New Roman" w:hAnsi="Times New Roman" w:eastAsia="仿宋" w:cs="Times New Roman"/>
          <w:color w:val="333333"/>
          <w:spacing w:val="8"/>
          <w:sz w:val="32"/>
          <w:szCs w:val="32"/>
          <w:lang w:val="en-US" w:eastAsia="zh-CN"/>
        </w:rPr>
        <w:t>鸡东县辖8个建制镇，3个乡（其中包含两个民族乡），124个行政村，1个国营农场，3个统配煤矿，3个县属农牧场。</w:t>
      </w:r>
    </w:p>
    <w:p w14:paraId="2D307C44">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pPr>
      <w:r>
        <w:rPr>
          <w:rFonts w:hint="eastAsia" w:ascii="Times New Roman" w:hAnsi="Times New Roman" w:eastAsia="仿宋" w:cs="Times New Roman"/>
          <w:color w:val="333333"/>
          <w:spacing w:val="8"/>
          <w:sz w:val="32"/>
          <w:szCs w:val="32"/>
          <w:lang w:val="en-US" w:eastAsia="zh-CN"/>
        </w:rPr>
        <w:t>2023年末，全县户籍总人口25.4125万人，其中农业人口17.4434万人，非农业人口7.9691万人，男性12.9795万人，女性12.6601万人。年末全县常住人口为20.2万人。</w:t>
      </w:r>
    </w:p>
    <w:p w14:paraId="0276EC8A">
      <w:pPr>
        <w:pStyle w:val="37"/>
        <w:pageBreakBefore w:val="0"/>
        <w:widowControl w:val="0"/>
        <w:kinsoku/>
        <w:wordWrap/>
        <w:overflowPunct/>
        <w:topLinePunct w:val="0"/>
        <w:autoSpaceDE/>
        <w:autoSpaceDN/>
        <w:bidi w:val="0"/>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40" w:name="_Toc4121"/>
      <w:bookmarkStart w:id="41" w:name="_Toc25624"/>
      <w:r>
        <w:rPr>
          <w:rFonts w:hint="default" w:ascii="Times New Roman" w:hAnsi="Times New Roman" w:eastAsia="方正仿宋_GB18030" w:cs="Times New Roman"/>
          <w:sz w:val="32"/>
          <w:szCs w:val="32"/>
          <w:lang w:val="en-US" w:eastAsia="zh-CN"/>
        </w:rPr>
        <w:t>2.2.2气候特点</w:t>
      </w:r>
      <w:bookmarkEnd w:id="40"/>
      <w:bookmarkEnd w:id="41"/>
    </w:p>
    <w:p w14:paraId="4BA67063">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Times New Roman" w:hAnsi="Times New Roman" w:eastAsia="仿宋" w:cs="Times New Roman"/>
          <w:color w:val="333333"/>
          <w:spacing w:val="8"/>
          <w:sz w:val="32"/>
          <w:szCs w:val="32"/>
          <w:lang w:val="en-US" w:eastAsia="zh-CN"/>
        </w:rPr>
      </w:pPr>
      <w:r>
        <w:rPr>
          <w:rFonts w:hint="eastAsia" w:ascii="Times New Roman" w:hAnsi="Times New Roman" w:eastAsia="仿宋" w:cs="Times New Roman"/>
          <w:color w:val="333333"/>
          <w:spacing w:val="8"/>
          <w:sz w:val="32"/>
          <w:szCs w:val="32"/>
          <w:lang w:val="en-US" w:eastAsia="zh-CN"/>
        </w:rPr>
        <w:t>鸡东县年平均气温2.8—3.8℃，且由中部穆棱河冲积平原向南北区二个方向呈递减趋势分布。中部平原区比南北山区年平均气温约高1℃。</w:t>
      </w:r>
    </w:p>
    <w:p w14:paraId="14770EF9">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Times New Roman" w:hAnsi="Times New Roman" w:eastAsia="仿宋" w:cs="Times New Roman"/>
          <w:color w:val="333333"/>
          <w:spacing w:val="8"/>
          <w:sz w:val="32"/>
          <w:szCs w:val="32"/>
          <w:lang w:val="en-US" w:eastAsia="zh-CN"/>
        </w:rPr>
      </w:pPr>
      <w:r>
        <w:rPr>
          <w:rFonts w:hint="eastAsia" w:ascii="Times New Roman" w:hAnsi="Times New Roman" w:eastAsia="仿宋" w:cs="Times New Roman"/>
          <w:color w:val="333333"/>
          <w:spacing w:val="8"/>
          <w:sz w:val="32"/>
          <w:szCs w:val="32"/>
          <w:lang w:val="en-US" w:eastAsia="zh-CN"/>
        </w:rPr>
        <w:t>鸡东县四季寒暑变化比较明显，并具有冬季漫长而严寒，夏季短促而温和的特点。全年最冷月为一月，平均气温-17—-18℃，最热月为七月，平均气温20.3—23.6℃，年变幅在37.3—41.6℃之间。月均温极端最高值为36。4℃（1982年7月），极端低值为-35。0℃（1970年1月）。</w:t>
      </w:r>
    </w:p>
    <w:p w14:paraId="113C5851">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eastAsia" w:ascii="Times New Roman" w:hAnsi="Times New Roman" w:eastAsia="仿宋" w:cs="Times New Roman"/>
          <w:color w:val="333333"/>
          <w:spacing w:val="8"/>
          <w:sz w:val="32"/>
          <w:szCs w:val="32"/>
          <w:lang w:val="en-US" w:eastAsia="zh-CN"/>
        </w:rPr>
        <w:t>鸡东县热量资源比较丰富，境内历年平均气温稳定通过≥10℃的积温为2，490.7—2,631.6℃，稳定通过≥0℃的积温为2,847.9—3,328.0℃，作物生长期积温比较高，能满足农作物一年一熟的要求。历年平均日照总时数达2541.7小时，太阳总幅射量为120千卡/厘米2，主要农作物生长季（6—9月）太阳总幅射量为50—55千卡/厘米2，本县无霜期较长，平均为109—138天，初霜日一般在九月中下旬，终霜日在五月中下旬。</w:t>
      </w:r>
    </w:p>
    <w:p w14:paraId="5BC191D9">
      <w:pPr>
        <w:pStyle w:val="37"/>
        <w:pageBreakBefore w:val="0"/>
        <w:widowControl w:val="0"/>
        <w:kinsoku/>
        <w:wordWrap/>
        <w:overflowPunct/>
        <w:topLinePunct w:val="0"/>
        <w:autoSpaceDE/>
        <w:autoSpaceDN/>
        <w:bidi w:val="0"/>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42" w:name="_Toc17311"/>
      <w:bookmarkStart w:id="43" w:name="_Toc1214"/>
      <w:r>
        <w:rPr>
          <w:rFonts w:hint="default" w:ascii="Times New Roman" w:hAnsi="Times New Roman" w:eastAsia="方正仿宋_GB18030" w:cs="Times New Roman"/>
          <w:sz w:val="32"/>
          <w:szCs w:val="32"/>
          <w:lang w:val="en-US" w:eastAsia="zh-CN"/>
        </w:rPr>
        <w:t>2.2.3地形地貌</w:t>
      </w:r>
      <w:bookmarkEnd w:id="42"/>
      <w:bookmarkEnd w:id="43"/>
    </w:p>
    <w:p w14:paraId="4B1DFB38">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Times New Roman" w:hAnsi="Times New Roman" w:eastAsia="仿宋" w:cs="Times New Roman"/>
          <w:color w:val="333333"/>
          <w:spacing w:val="8"/>
          <w:sz w:val="32"/>
          <w:szCs w:val="32"/>
          <w:lang w:val="en-US" w:eastAsia="zh-CN"/>
        </w:rPr>
      </w:pPr>
      <w:r>
        <w:rPr>
          <w:rFonts w:hint="eastAsia" w:ascii="Times New Roman" w:hAnsi="Times New Roman" w:eastAsia="仿宋" w:cs="Times New Roman"/>
          <w:color w:val="333333"/>
          <w:spacing w:val="8"/>
          <w:sz w:val="32"/>
          <w:szCs w:val="32"/>
          <w:lang w:val="en-US" w:eastAsia="zh-CN"/>
        </w:rPr>
        <w:t>鸡东县位于三江平原东南部，地处完达山，老爷岭的相交处。完达山余脉由东向西环抱着本县北部，老爷岭余脉由西向东横卧于本县南部，穆棱河至西向东贯穿本县中部，南北山环抱着开阔的穆棱河冲积平原，构成了鸡东县南北高中间低的地势。平原区和山区之间坡岗地相接，形成了低山丘陵，丘陵漫岗和冲积平原三种地貌类型。</w:t>
      </w:r>
    </w:p>
    <w:p w14:paraId="6BC5E984">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Times New Roman" w:hAnsi="Times New Roman" w:eastAsia="仿宋" w:cs="Times New Roman"/>
          <w:color w:val="333333"/>
          <w:spacing w:val="8"/>
          <w:sz w:val="32"/>
          <w:szCs w:val="32"/>
          <w:lang w:val="en-US" w:eastAsia="zh-CN"/>
        </w:rPr>
      </w:pPr>
      <w:r>
        <w:rPr>
          <w:rFonts w:hint="eastAsia" w:ascii="Times New Roman" w:hAnsi="Times New Roman" w:eastAsia="仿宋" w:cs="Times New Roman"/>
          <w:color w:val="333333"/>
          <w:spacing w:val="8"/>
          <w:sz w:val="32"/>
          <w:szCs w:val="32"/>
          <w:lang w:val="en-US" w:eastAsia="zh-CN"/>
        </w:rPr>
        <w:t>本县南、北部属于低山丘陵区，其面积占总面积53.6%，南部最高峰西大翁海拔882米，北部最高峰双牙山海拔高763.3米，平均海拔高约300—400米。</w:t>
      </w:r>
    </w:p>
    <w:p w14:paraId="4E226B2A">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Times New Roman" w:hAnsi="Times New Roman" w:eastAsia="仿宋" w:cs="Times New Roman"/>
          <w:color w:val="333333"/>
          <w:spacing w:val="8"/>
          <w:sz w:val="32"/>
          <w:szCs w:val="32"/>
          <w:lang w:val="en-US" w:eastAsia="zh-CN"/>
        </w:rPr>
      </w:pPr>
      <w:r>
        <w:rPr>
          <w:rFonts w:hint="eastAsia" w:ascii="Times New Roman" w:hAnsi="Times New Roman" w:eastAsia="仿宋" w:cs="Times New Roman"/>
          <w:color w:val="333333"/>
          <w:spacing w:val="8"/>
          <w:sz w:val="32"/>
          <w:szCs w:val="32"/>
          <w:lang w:val="en-US" w:eastAsia="zh-CN"/>
        </w:rPr>
        <w:t>本县南北部属于丘陵漫岗低山向穆陵河冲积平原过渡地带，其面积占总面积39.4%地势较平缓长，起伏较小，沟宽岗平，平均海拔高150—250米之间。</w:t>
      </w:r>
    </w:p>
    <w:p w14:paraId="7E780A96">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Times New Roman" w:hAnsi="Times New Roman" w:eastAsia="仿宋" w:cs="Times New Roman"/>
          <w:color w:val="333333"/>
          <w:spacing w:val="8"/>
          <w:sz w:val="32"/>
          <w:szCs w:val="32"/>
          <w:lang w:val="en-US" w:eastAsia="zh-CN"/>
        </w:rPr>
      </w:pPr>
      <w:r>
        <w:rPr>
          <w:rFonts w:hint="eastAsia" w:ascii="Times New Roman" w:hAnsi="Times New Roman" w:eastAsia="仿宋" w:cs="Times New Roman"/>
          <w:color w:val="333333"/>
          <w:spacing w:val="8"/>
          <w:sz w:val="32"/>
          <w:szCs w:val="32"/>
          <w:lang w:val="en-US" w:eastAsia="zh-CN"/>
        </w:rPr>
        <w:t>冲积平原，位于穆陵河两岸海拔高143—179米，其面积占总面积7%，地势平坦开阔，呈缓缓向东倾斜状。</w:t>
      </w:r>
    </w:p>
    <w:p w14:paraId="266A47A3">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pPr>
      <w:r>
        <w:rPr>
          <w:rFonts w:hint="eastAsia" w:ascii="Times New Roman" w:hAnsi="Times New Roman" w:eastAsia="仿宋" w:cs="Times New Roman"/>
          <w:color w:val="333333"/>
          <w:spacing w:val="8"/>
          <w:sz w:val="32"/>
          <w:szCs w:val="32"/>
          <w:lang w:val="en-US" w:eastAsia="zh-CN"/>
        </w:rPr>
        <w:t>概括起来鸡东县地形地貌的特点是“七山二岗一平地”。</w:t>
      </w:r>
    </w:p>
    <w:p w14:paraId="0F2FE86B">
      <w:pPr>
        <w:pStyle w:val="37"/>
        <w:pageBreakBefore w:val="0"/>
        <w:widowControl w:val="0"/>
        <w:kinsoku/>
        <w:wordWrap/>
        <w:overflowPunct/>
        <w:topLinePunct w:val="0"/>
        <w:autoSpaceDE/>
        <w:autoSpaceDN/>
        <w:bidi w:val="0"/>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44" w:name="_Toc11908"/>
      <w:bookmarkStart w:id="45" w:name="_Toc7136"/>
      <w:r>
        <w:rPr>
          <w:rFonts w:hint="default" w:ascii="Times New Roman" w:hAnsi="Times New Roman" w:eastAsia="方正仿宋_GB18030" w:cs="Times New Roman"/>
          <w:sz w:val="32"/>
          <w:szCs w:val="32"/>
          <w:lang w:val="en-US" w:eastAsia="zh-CN"/>
        </w:rPr>
        <w:t>2.2.4</w:t>
      </w:r>
      <w:r>
        <w:rPr>
          <w:rFonts w:hint="eastAsia" w:ascii="Times New Roman" w:eastAsia="方正仿宋_GB18030" w:cs="Times New Roman"/>
          <w:sz w:val="32"/>
          <w:szCs w:val="32"/>
          <w:lang w:val="en-US" w:eastAsia="zh-CN"/>
        </w:rPr>
        <w:t>水文条件</w:t>
      </w:r>
      <w:bookmarkEnd w:id="44"/>
      <w:bookmarkEnd w:id="45"/>
    </w:p>
    <w:p w14:paraId="3253F0B2">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鸡东县位于穆棱河上游，境内河流较多，水资源丰富，主要河流穆棱河及其8条支流有黄泥河、哈在河、滴道河、大、小石头河、半截河、锅盔河、水曲柳河等。还有季节性沟溪269条，有主要沟泽64个，全县大小河流及水溪总长1136.5公里，河流密度为0.35公里/平方公里。穆棱河流经本县境内河长48公里，穆棱河水系的8条一级支流合计长度307.4公里，流域面积2，944.4平方公里。全县多年地表平均径流深140毫米，径流总量4.34亿立方米，本县地下水储量为40.1亿立方米，可开采量每年2.16亿立方米，其中丘陵漫岗区0.72亿立方米，冲积平原区1.44亿立方米。</w:t>
      </w:r>
    </w:p>
    <w:p w14:paraId="24DA0DF8">
      <w:pPr>
        <w:pStyle w:val="37"/>
        <w:pageBreakBefore w:val="0"/>
        <w:widowControl w:val="0"/>
        <w:kinsoku/>
        <w:wordWrap/>
        <w:overflowPunct/>
        <w:topLinePunct w:val="0"/>
        <w:autoSpaceDE/>
        <w:autoSpaceDN/>
        <w:bidi w:val="0"/>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46" w:name="_Toc21341"/>
      <w:bookmarkStart w:id="47" w:name="_Toc30903"/>
      <w:r>
        <w:rPr>
          <w:rFonts w:hint="default" w:ascii="Times New Roman" w:hAnsi="Times New Roman" w:eastAsia="方正仿宋_GB18030" w:cs="Times New Roman"/>
          <w:sz w:val="32"/>
          <w:szCs w:val="32"/>
          <w:lang w:val="en-US" w:eastAsia="zh-CN"/>
        </w:rPr>
        <w:t>2.2.5自然资源</w:t>
      </w:r>
      <w:bookmarkEnd w:id="46"/>
      <w:bookmarkEnd w:id="47"/>
    </w:p>
    <w:p w14:paraId="24E43085">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val="en-US" w:eastAsia="zh-CN"/>
        </w:rPr>
        <w:t>2.2.5.1</w:t>
      </w:r>
      <w:r>
        <w:rPr>
          <w:rFonts w:hint="default" w:ascii="Times New Roman" w:hAnsi="Times New Roman" w:eastAsia="仿宋" w:cs="Times New Roman"/>
          <w:color w:val="333333"/>
          <w:spacing w:val="8"/>
          <w:sz w:val="32"/>
          <w:szCs w:val="32"/>
          <w:lang w:eastAsia="zh-CN"/>
        </w:rPr>
        <w:t>水利资源</w:t>
      </w:r>
    </w:p>
    <w:p w14:paraId="702A0033">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鸡东县地表水总集水面积3243平方千米，平均年降水量为427—9-542.5毫米，全县平均经流总量为4.84亿立方米。其中低山丘陵区年经流总量为8亿立方米，丘陵漫岗区为1亿立方米，穆棱河冲积平原区为0.84亿立方来。该县丰水年径流总量为7.5亿立方米，特旱年经流总量为1.98亿立方米。鸡东县地下水净储量初步估算为40.1亿立方米，其中低山丘陵区11.78亿立方米，丘陵漫岗区16.41亿立方米，穆棱河冲积平原为11.91亿立方米</w:t>
      </w:r>
    </w:p>
    <w:p w14:paraId="250662FB">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val="en-US" w:eastAsia="zh-CN"/>
        </w:rPr>
        <w:t>2.2.5.2</w:t>
      </w:r>
      <w:r>
        <w:rPr>
          <w:rFonts w:hint="eastAsia" w:ascii="Times New Roman" w:hAnsi="Times New Roman" w:eastAsia="仿宋" w:cs="Times New Roman"/>
          <w:color w:val="333333"/>
          <w:spacing w:val="8"/>
          <w:sz w:val="32"/>
          <w:szCs w:val="32"/>
          <w:lang w:val="en-US" w:eastAsia="zh-CN"/>
        </w:rPr>
        <w:t>植物</w:t>
      </w:r>
      <w:r>
        <w:rPr>
          <w:rFonts w:hint="default" w:ascii="Times New Roman" w:hAnsi="Times New Roman" w:eastAsia="仿宋" w:cs="Times New Roman"/>
          <w:color w:val="333333"/>
          <w:spacing w:val="8"/>
          <w:sz w:val="32"/>
          <w:szCs w:val="32"/>
          <w:lang w:eastAsia="zh-CN"/>
        </w:rPr>
        <w:t>资源</w:t>
      </w:r>
    </w:p>
    <w:p w14:paraId="6CEA968A">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鸡东县内森林主要树种，针叶树有红松，云杉，冷杉，赤松，杜松和稀有的树种紫杉。阔叶树有：柞树、白桦，黑桦，杨、柳、榆、椴、械，黄波罗、胡桃秋和水曲柳等。森林类型是柞树林硬阏混交林遍布南北山区。南部山区还有针阔混交林、赤松林、杨树林和白桦林。</w:t>
      </w:r>
    </w:p>
    <w:p w14:paraId="206BD234">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2.2.5.3</w:t>
      </w:r>
      <w:r>
        <w:rPr>
          <w:rFonts w:hint="eastAsia" w:ascii="Times New Roman" w:hAnsi="Times New Roman" w:eastAsia="仿宋" w:cs="Times New Roman"/>
          <w:color w:val="333333"/>
          <w:spacing w:val="8"/>
          <w:sz w:val="32"/>
          <w:szCs w:val="32"/>
          <w:lang w:val="en-US" w:eastAsia="zh-CN"/>
        </w:rPr>
        <w:t>动物</w:t>
      </w:r>
      <w:r>
        <w:rPr>
          <w:rFonts w:hint="default" w:ascii="Times New Roman" w:hAnsi="Times New Roman" w:eastAsia="仿宋" w:cs="Times New Roman"/>
          <w:color w:val="333333"/>
          <w:spacing w:val="8"/>
          <w:sz w:val="32"/>
          <w:szCs w:val="32"/>
          <w:lang w:eastAsia="zh-CN"/>
        </w:rPr>
        <w:t>资源</w:t>
      </w:r>
    </w:p>
    <w:p w14:paraId="41117F80">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根据1975年鸡东县野生动物调查显示，鸡东县有马鹿、猞猁、獐子、水獭、狐狸、野猪、狍子、草兔、黄鼬、豹子、獾子、狼、麝鼠等动物。县内山区有鞘翅目、鳞翅目、同翅目、膜翅目、直翅目等昆虫，其中以鞘翅目，鳞翅目为主。县内天然鱼类主要有鲫鱼，鲤鱼、鲶鱼、黑鱼、麦穗鱼、细鳞鱼、哲罗鱼，泥鳅色，柳根子，重唇鱼，狗鱼以及山胖头等，还有甲鱼，水耗子，田鸡等。</w:t>
      </w:r>
    </w:p>
    <w:p w14:paraId="2D9987A0">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val="en-US" w:eastAsia="zh-CN"/>
        </w:rPr>
        <w:t>2.2.5.</w:t>
      </w:r>
      <w:r>
        <w:rPr>
          <w:rFonts w:hint="eastAsia" w:ascii="Times New Roman" w:hAnsi="Times New Roman" w:eastAsia="仿宋" w:cs="Times New Roman"/>
          <w:color w:val="333333"/>
          <w:spacing w:val="8"/>
          <w:sz w:val="32"/>
          <w:szCs w:val="32"/>
          <w:lang w:val="en-US" w:eastAsia="zh-CN"/>
        </w:rPr>
        <w:t>4</w:t>
      </w:r>
      <w:r>
        <w:rPr>
          <w:rFonts w:hint="default" w:ascii="Times New Roman" w:hAnsi="Times New Roman" w:eastAsia="仿宋" w:cs="Times New Roman"/>
          <w:color w:val="333333"/>
          <w:spacing w:val="8"/>
          <w:sz w:val="32"/>
          <w:szCs w:val="32"/>
          <w:lang w:eastAsia="zh-CN"/>
        </w:rPr>
        <w:t>矿产资源</w:t>
      </w:r>
    </w:p>
    <w:p w14:paraId="565A5FF2">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eastAsia" w:ascii="Times New Roman" w:hAnsi="Times New Roman" w:eastAsia="仿宋" w:cs="Times New Roman"/>
          <w:color w:val="333333"/>
          <w:spacing w:val="8"/>
          <w:sz w:val="32"/>
          <w:szCs w:val="32"/>
          <w:lang w:eastAsia="zh-CN"/>
        </w:rPr>
        <w:t>鸡东县内已发现的矿产资源有煤，油页岩，铁，钛铁，铂、铊、银，镍，铅，金、铀、铅锌、铝，石墨、萤石，水晶、熔炼水晶，石灰岩、花岗岩、玄武岩（辉绿玢岩）火山灰，板岩（千枚岩），石英砂岩，砂，粘土等25种。其中煤最丰富，全县已探明煤地质储量为27亿吨，萤石、水晶、熔炼水晶，铂、钯的蕴藏量均占全省第一位。此外灰岩、玄武岩，板岩及石英岩等建材原料矿藏也很丰富，计有各类矿床10处，矿点和矿化点24处，矿产线索地17处。</w:t>
      </w:r>
    </w:p>
    <w:p w14:paraId="6EE9329A">
      <w:pPr>
        <w:pStyle w:val="37"/>
        <w:pageBreakBefore w:val="0"/>
        <w:widowControl w:val="0"/>
        <w:kinsoku/>
        <w:wordWrap/>
        <w:overflowPunct/>
        <w:topLinePunct w:val="0"/>
        <w:autoSpaceDE/>
        <w:autoSpaceDN/>
        <w:bidi w:val="0"/>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48" w:name="_Toc14126"/>
      <w:bookmarkStart w:id="49" w:name="_Toc28264"/>
      <w:r>
        <w:rPr>
          <w:rFonts w:hint="default" w:ascii="Times New Roman" w:hAnsi="Times New Roman" w:eastAsia="方正仿宋_GB18030" w:cs="Times New Roman"/>
          <w:sz w:val="32"/>
          <w:szCs w:val="32"/>
          <w:lang w:val="en-US" w:eastAsia="zh-CN"/>
        </w:rPr>
        <w:t>2.2.6社会经济情况</w:t>
      </w:r>
      <w:bookmarkEnd w:id="48"/>
      <w:bookmarkEnd w:id="49"/>
    </w:p>
    <w:p w14:paraId="3337CFBA">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202</w:t>
      </w:r>
      <w:r>
        <w:rPr>
          <w:rFonts w:hint="eastAsia" w:ascii="Times New Roman" w:hAnsi="Times New Roman" w:eastAsia="仿宋" w:cs="Times New Roman"/>
          <w:color w:val="333333"/>
          <w:spacing w:val="8"/>
          <w:sz w:val="32"/>
          <w:szCs w:val="32"/>
          <w:lang w:val="en-US" w:eastAsia="zh-CN"/>
        </w:rPr>
        <w:t>4</w:t>
      </w:r>
      <w:r>
        <w:rPr>
          <w:rFonts w:hint="default" w:ascii="Times New Roman" w:hAnsi="Times New Roman" w:eastAsia="仿宋" w:cs="Times New Roman"/>
          <w:color w:val="333333"/>
          <w:spacing w:val="8"/>
          <w:sz w:val="32"/>
          <w:szCs w:val="32"/>
          <w:lang w:eastAsia="zh-CN"/>
        </w:rPr>
        <w:t>年地区生产总值实现102.25亿元，同比增长5.6%，分别高于全国（3.0%）2.6个百分点，全省（2.7%）2.9个百分点，全市（4.6%）1个百分点，增幅位居全市第4位，从三次产业看，第一产业增加值372932万元，增长4.2%，增速全市第3；第二产业增加值187936万元，增长4.0%，增速全市第6；第三产业增加值461607万元，增长7.4%，增速全市第1。三次产业贡献率分别为28.9%、12.4%、58.7%，分别拉动GDP增长1.61、0.69、3.26个百分点，三次产业结构由上年的34.2：18.4：47.4调整为36.5：18.4：45.1。常住人口人均地区生产总值49601元。城乡居民收入快速增长。全县城镇常住居民人均可支配收入达到30925元，同比增长3.8%。农村常住居民人均可支配收入达到22841元，同比增长4.0%。</w:t>
      </w:r>
    </w:p>
    <w:p w14:paraId="71C499E5">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农业生产稳中向好，农产品供应有效提升。全年全县农林牧渔业总产值实现592905万元，同比增长4.2%，分别高于全省（2.5%）1.7个百分点，全市（2.8%）1.4个百分点，增幅全市第3，三县第1。粮食产量实现14.7亿斤，同比增长3.07%。畜牧业生产继续保持稳定发展态势。生猪全年累计出栏23.7万头，同比增长13.8%；猪牛羊禽肉类产量2.43万吨，增长8.45%。全县蔬菜及食用菌播种面积997.4公顷，同比增长9%；产量5.21万吨，增长10.8%。</w:t>
      </w:r>
    </w:p>
    <w:p w14:paraId="12420C7C">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全年全县规模以上工业增加值同比增长4.1%，增幅分别高于全国（3.6%）0.5个百分点，全省（0.8%）3.3个百分点。按行业大类分，采矿业增加值增长12.8%，对规上工业增长的贡献率为179.8%。</w:t>
      </w:r>
    </w:p>
    <w:p w14:paraId="70300EFD">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全年全县固定资产投资（不含农户）完成额同比增长31%，分别高于全国（5.1%）25.9个百分点、全省（0.6%）29.4个百分点、全市（21.8%）9.2个百分点，增幅全市第3。</w:t>
      </w:r>
    </w:p>
    <w:p w14:paraId="00F82D77">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交通运输业较快发展，公路基础设施不断完善，综合运输能力不断增强。全县公路总里程1489.14公里，其中国道2条69.777公里，省道1条53.855公里，农村公路里程数1214.43公里，占公路总里程的81.6%，县路251.306公里，乡道401.873公里，村路561.251公里。专用公路151.078公里。</w:t>
      </w:r>
    </w:p>
    <w:p w14:paraId="3B2DCFC5">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邮政业全年完成业务总量5644.85万元，同比增长5%。</w:t>
      </w:r>
    </w:p>
    <w:p w14:paraId="23E9EC88">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全年全县社会消费品零售总额实现232843万元，同比下降1.9%。下降幅度窄于全省（6%）4.1个百分点，与全市（-1.9%)持平。按区域分，城镇下降1.4%，农村下降3.4%，按限额标准分，限上零售额增长1.9%，限下零售额下降3.1%。</w:t>
      </w:r>
    </w:p>
    <w:p w14:paraId="07FA4AD7">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方正仿宋_GB18030" w:cs="Times New Roman"/>
          <w:sz w:val="32"/>
          <w:szCs w:val="32"/>
          <w:lang w:val="en-US" w:eastAsia="zh-CN"/>
        </w:rPr>
      </w:pPr>
      <w:r>
        <w:rPr>
          <w:rFonts w:hint="default" w:ascii="Times New Roman" w:hAnsi="Times New Roman" w:eastAsia="仿宋" w:cs="Times New Roman"/>
          <w:color w:val="333333"/>
          <w:spacing w:val="8"/>
          <w:sz w:val="32"/>
          <w:szCs w:val="32"/>
          <w:lang w:eastAsia="zh-CN"/>
        </w:rPr>
        <w:t>全年全县一般公共预算收入完成43488万元，剔除组合式税费支持政策因素后增长31.4%，其中税收收入完成21417万元，增长34.3%，非税收入完成22071万元，增长28.4%。全县一般公共预算支出完成327030万元，同比增长21.31%。12月末，全县金融机构各项存款余额1591861万元，同比增长14.54%。金融机构各项贷款余额866845万元，同比增长28.78%。</w:t>
      </w:r>
    </w:p>
    <w:p w14:paraId="0AFDE969">
      <w:pPr>
        <w:pStyle w:val="37"/>
        <w:pageBreakBefore w:val="0"/>
        <w:widowControl w:val="0"/>
        <w:kinsoku/>
        <w:wordWrap/>
        <w:overflowPunct/>
        <w:topLinePunct w:val="0"/>
        <w:autoSpaceDE/>
        <w:autoSpaceDN/>
        <w:bidi w:val="0"/>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50" w:name="_Toc4598"/>
      <w:bookmarkStart w:id="51" w:name="_Toc2494"/>
      <w:r>
        <w:rPr>
          <w:rFonts w:hint="default" w:ascii="Times New Roman" w:hAnsi="Times New Roman" w:eastAsia="方正仿宋_GB18030" w:cs="Times New Roman"/>
          <w:sz w:val="32"/>
          <w:szCs w:val="32"/>
          <w:lang w:val="en-US" w:eastAsia="zh-CN"/>
        </w:rPr>
        <w:t>2.2.7土地利用现状</w:t>
      </w:r>
      <w:bookmarkEnd w:id="50"/>
      <w:bookmarkEnd w:id="51"/>
    </w:p>
    <w:p w14:paraId="0FDFD89A">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根据全国第三次土地调查数据，</w:t>
      </w:r>
      <w:r>
        <w:rPr>
          <w:rFonts w:hint="eastAsia" w:ascii="Times New Roman" w:hAnsi="Times New Roman" w:eastAsia="仿宋" w:cs="Times New Roman"/>
          <w:color w:val="333333"/>
          <w:spacing w:val="8"/>
          <w:sz w:val="32"/>
          <w:szCs w:val="32"/>
          <w:lang w:val="en-US" w:eastAsia="zh-CN"/>
        </w:rPr>
        <w:t>2023年</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行政辖区土地总面积323288.73公顷。其中湿地面积为3563.92公顷，占土地总面积的</w:t>
      </w:r>
      <w:r>
        <w:rPr>
          <w:rFonts w:hint="eastAsia" w:ascii="Times New Roman" w:hAnsi="Times New Roman" w:eastAsia="仿宋" w:cs="Times New Roman"/>
          <w:color w:val="333333"/>
          <w:spacing w:val="8"/>
          <w:sz w:val="32"/>
          <w:szCs w:val="32"/>
          <w:lang w:val="en-US" w:eastAsia="zh-CN"/>
        </w:rPr>
        <w:t>1.10</w:t>
      </w:r>
      <w:r>
        <w:rPr>
          <w:rFonts w:hint="default" w:ascii="Times New Roman" w:hAnsi="Times New Roman" w:eastAsia="仿宋" w:cs="Times New Roman"/>
          <w:color w:val="333333"/>
          <w:spacing w:val="8"/>
          <w:sz w:val="32"/>
          <w:szCs w:val="32"/>
          <w:lang w:eastAsia="zh-CN"/>
        </w:rPr>
        <w:t>%，耕地面积为136803.32公顷，占土地总面积的</w:t>
      </w:r>
      <w:r>
        <w:rPr>
          <w:rFonts w:hint="eastAsia" w:ascii="Times New Roman" w:hAnsi="Times New Roman" w:eastAsia="仿宋" w:cs="Times New Roman"/>
          <w:color w:val="333333"/>
          <w:spacing w:val="8"/>
          <w:sz w:val="32"/>
          <w:szCs w:val="32"/>
          <w:lang w:val="en-US" w:eastAsia="zh-CN"/>
        </w:rPr>
        <w:t>42.32</w:t>
      </w:r>
      <w:r>
        <w:rPr>
          <w:rFonts w:hint="default" w:ascii="Times New Roman" w:hAnsi="Times New Roman" w:eastAsia="仿宋" w:cs="Times New Roman"/>
          <w:color w:val="333333"/>
          <w:spacing w:val="8"/>
          <w:sz w:val="32"/>
          <w:szCs w:val="32"/>
          <w:lang w:eastAsia="zh-CN"/>
        </w:rPr>
        <w:t>%，</w:t>
      </w:r>
      <w:r>
        <w:rPr>
          <w:rFonts w:hint="eastAsia" w:ascii="Times New Roman" w:hAnsi="Times New Roman" w:eastAsia="仿宋" w:cs="Times New Roman"/>
          <w:color w:val="333333"/>
          <w:spacing w:val="8"/>
          <w:sz w:val="32"/>
          <w:szCs w:val="32"/>
          <w:lang w:val="en-US" w:eastAsia="zh-CN"/>
        </w:rPr>
        <w:t>园地</w:t>
      </w:r>
      <w:r>
        <w:rPr>
          <w:rFonts w:hint="default" w:ascii="Times New Roman" w:hAnsi="Times New Roman" w:eastAsia="仿宋" w:cs="Times New Roman"/>
          <w:color w:val="333333"/>
          <w:spacing w:val="8"/>
          <w:sz w:val="32"/>
          <w:szCs w:val="32"/>
          <w:lang w:eastAsia="zh-CN"/>
        </w:rPr>
        <w:t>面积为1554.11公顷，占土地总面积的</w:t>
      </w:r>
      <w:r>
        <w:rPr>
          <w:rFonts w:hint="eastAsia" w:ascii="Times New Roman" w:hAnsi="Times New Roman" w:eastAsia="仿宋" w:cs="Times New Roman"/>
          <w:color w:val="333333"/>
          <w:spacing w:val="8"/>
          <w:sz w:val="32"/>
          <w:szCs w:val="32"/>
          <w:lang w:val="en-US" w:eastAsia="zh-CN"/>
        </w:rPr>
        <w:t>0.48</w:t>
      </w:r>
      <w:r>
        <w:rPr>
          <w:rFonts w:hint="default" w:ascii="Times New Roman" w:hAnsi="Times New Roman" w:eastAsia="仿宋" w:cs="Times New Roman"/>
          <w:color w:val="333333"/>
          <w:spacing w:val="8"/>
          <w:sz w:val="32"/>
          <w:szCs w:val="32"/>
          <w:lang w:eastAsia="zh-CN"/>
        </w:rPr>
        <w:t>%，林地面积为156844.38公顷，占土地总面积的</w:t>
      </w:r>
      <w:r>
        <w:rPr>
          <w:rFonts w:hint="eastAsia" w:ascii="Times New Roman" w:hAnsi="Times New Roman" w:eastAsia="仿宋" w:cs="Times New Roman"/>
          <w:color w:val="333333"/>
          <w:spacing w:val="8"/>
          <w:sz w:val="32"/>
          <w:szCs w:val="32"/>
          <w:lang w:val="en-US" w:eastAsia="zh-CN"/>
        </w:rPr>
        <w:t>48.52</w:t>
      </w:r>
      <w:r>
        <w:rPr>
          <w:rFonts w:hint="default" w:ascii="Times New Roman" w:hAnsi="Times New Roman" w:eastAsia="仿宋" w:cs="Times New Roman"/>
          <w:color w:val="333333"/>
          <w:spacing w:val="8"/>
          <w:sz w:val="32"/>
          <w:szCs w:val="32"/>
          <w:lang w:eastAsia="zh-CN"/>
        </w:rPr>
        <w:t>%，草地面积为2083.87公顷，占土地总面积的</w:t>
      </w:r>
      <w:r>
        <w:rPr>
          <w:rFonts w:hint="eastAsia" w:ascii="Times New Roman" w:hAnsi="Times New Roman" w:eastAsia="仿宋" w:cs="Times New Roman"/>
          <w:color w:val="333333"/>
          <w:spacing w:val="8"/>
          <w:sz w:val="32"/>
          <w:szCs w:val="32"/>
          <w:lang w:val="en-US" w:eastAsia="zh-CN"/>
        </w:rPr>
        <w:t>0.64</w:t>
      </w:r>
      <w:r>
        <w:rPr>
          <w:rFonts w:hint="default" w:ascii="Times New Roman" w:hAnsi="Times New Roman" w:eastAsia="仿宋" w:cs="Times New Roman"/>
          <w:color w:val="333333"/>
          <w:spacing w:val="8"/>
          <w:sz w:val="32"/>
          <w:szCs w:val="32"/>
          <w:lang w:eastAsia="zh-CN"/>
        </w:rPr>
        <w:t>%，商业服务业用地面积为275.79公顷，占土地总面积的</w:t>
      </w:r>
      <w:r>
        <w:rPr>
          <w:rFonts w:hint="eastAsia" w:ascii="Times New Roman" w:hAnsi="Times New Roman" w:eastAsia="仿宋" w:cs="Times New Roman"/>
          <w:color w:val="333333"/>
          <w:spacing w:val="8"/>
          <w:sz w:val="32"/>
          <w:szCs w:val="32"/>
          <w:lang w:val="en-US" w:eastAsia="zh-CN"/>
        </w:rPr>
        <w:t>0.09</w:t>
      </w:r>
      <w:r>
        <w:rPr>
          <w:rFonts w:hint="default" w:ascii="Times New Roman" w:hAnsi="Times New Roman" w:eastAsia="仿宋" w:cs="Times New Roman"/>
          <w:color w:val="333333"/>
          <w:spacing w:val="8"/>
          <w:sz w:val="32"/>
          <w:szCs w:val="32"/>
          <w:lang w:eastAsia="zh-CN"/>
        </w:rPr>
        <w:t>%，工矿用地面积为2181.56公顷，占土地总面积的</w:t>
      </w:r>
      <w:r>
        <w:rPr>
          <w:rFonts w:hint="eastAsia" w:ascii="Times New Roman" w:hAnsi="Times New Roman" w:eastAsia="仿宋" w:cs="Times New Roman"/>
          <w:color w:val="333333"/>
          <w:spacing w:val="8"/>
          <w:sz w:val="32"/>
          <w:szCs w:val="32"/>
          <w:lang w:val="en-US" w:eastAsia="zh-CN"/>
        </w:rPr>
        <w:t>0.67</w:t>
      </w:r>
      <w:r>
        <w:rPr>
          <w:rFonts w:hint="default" w:ascii="Times New Roman" w:hAnsi="Times New Roman" w:eastAsia="仿宋" w:cs="Times New Roman"/>
          <w:color w:val="333333"/>
          <w:spacing w:val="8"/>
          <w:sz w:val="32"/>
          <w:szCs w:val="32"/>
          <w:lang w:eastAsia="zh-CN"/>
        </w:rPr>
        <w:t>%，住宅用地面积为4087.44公顷，占土地总面积的</w:t>
      </w:r>
      <w:r>
        <w:rPr>
          <w:rFonts w:hint="eastAsia" w:ascii="Times New Roman" w:hAnsi="Times New Roman" w:eastAsia="仿宋" w:cs="Times New Roman"/>
          <w:color w:val="333333"/>
          <w:spacing w:val="8"/>
          <w:sz w:val="32"/>
          <w:szCs w:val="32"/>
          <w:lang w:val="en-US" w:eastAsia="zh-CN"/>
        </w:rPr>
        <w:t>1.26</w:t>
      </w:r>
      <w:r>
        <w:rPr>
          <w:rFonts w:hint="default" w:ascii="Times New Roman" w:hAnsi="Times New Roman" w:eastAsia="仿宋" w:cs="Times New Roman"/>
          <w:color w:val="333333"/>
          <w:spacing w:val="8"/>
          <w:sz w:val="32"/>
          <w:szCs w:val="32"/>
          <w:lang w:eastAsia="zh-CN"/>
        </w:rPr>
        <w:t>%，公共管理与公共服务用地面积为371.44公顷，占土地总面积的0.07%，特殊用地面积为81.41公顷，占土地总面积的0.</w:t>
      </w:r>
      <w:r>
        <w:rPr>
          <w:rFonts w:hint="eastAsia" w:ascii="Times New Roman" w:hAnsi="Times New Roman" w:eastAsia="仿宋" w:cs="Times New Roman"/>
          <w:color w:val="333333"/>
          <w:spacing w:val="8"/>
          <w:sz w:val="32"/>
          <w:szCs w:val="32"/>
          <w:lang w:val="en-US" w:eastAsia="zh-CN"/>
        </w:rPr>
        <w:t>1</w:t>
      </w:r>
      <w:r>
        <w:rPr>
          <w:rFonts w:hint="default" w:ascii="Times New Roman" w:hAnsi="Times New Roman" w:eastAsia="仿宋" w:cs="Times New Roman"/>
          <w:color w:val="333333"/>
          <w:spacing w:val="8"/>
          <w:sz w:val="32"/>
          <w:szCs w:val="32"/>
          <w:lang w:eastAsia="zh-CN"/>
        </w:rPr>
        <w:t>1%，</w:t>
      </w:r>
      <w:r>
        <w:rPr>
          <w:rFonts w:hint="eastAsia" w:ascii="Times New Roman" w:hAnsi="Times New Roman" w:eastAsia="仿宋" w:cs="Times New Roman"/>
          <w:color w:val="333333"/>
          <w:spacing w:val="8"/>
          <w:sz w:val="32"/>
          <w:szCs w:val="32"/>
          <w:lang w:val="en-US" w:eastAsia="zh-CN"/>
        </w:rPr>
        <w:t>特殊用地51.84公顷，占土地总面积的0.02%，</w:t>
      </w:r>
      <w:r>
        <w:rPr>
          <w:rFonts w:hint="default" w:ascii="Times New Roman" w:hAnsi="Times New Roman" w:eastAsia="仿宋" w:cs="Times New Roman"/>
          <w:color w:val="333333"/>
          <w:spacing w:val="8"/>
          <w:sz w:val="32"/>
          <w:szCs w:val="32"/>
          <w:lang w:eastAsia="zh-CN"/>
        </w:rPr>
        <w:t>交通运输用地面积为5423.38公顷，占土地总面积的1.6</w:t>
      </w:r>
      <w:r>
        <w:rPr>
          <w:rFonts w:hint="eastAsia" w:ascii="Times New Roman" w:hAnsi="Times New Roman" w:eastAsia="仿宋" w:cs="Times New Roman"/>
          <w:color w:val="333333"/>
          <w:spacing w:val="8"/>
          <w:sz w:val="32"/>
          <w:szCs w:val="32"/>
          <w:lang w:val="en-US" w:eastAsia="zh-CN"/>
        </w:rPr>
        <w:t>8</w:t>
      </w:r>
      <w:r>
        <w:rPr>
          <w:rFonts w:hint="default" w:ascii="Times New Roman" w:hAnsi="Times New Roman" w:eastAsia="仿宋" w:cs="Times New Roman"/>
          <w:color w:val="333333"/>
          <w:spacing w:val="8"/>
          <w:sz w:val="32"/>
          <w:szCs w:val="32"/>
          <w:lang w:eastAsia="zh-CN"/>
        </w:rPr>
        <w:t>%，水域及水利设施用地面积为9442.9公顷，占土地总面积的</w:t>
      </w:r>
      <w:r>
        <w:rPr>
          <w:rFonts w:hint="eastAsia" w:ascii="Times New Roman" w:hAnsi="Times New Roman" w:eastAsia="仿宋" w:cs="Times New Roman"/>
          <w:color w:val="333333"/>
          <w:spacing w:val="8"/>
          <w:sz w:val="32"/>
          <w:szCs w:val="32"/>
          <w:lang w:val="en-US" w:eastAsia="zh-CN"/>
        </w:rPr>
        <w:t>2.92</w:t>
      </w:r>
      <w:r>
        <w:rPr>
          <w:rFonts w:hint="default" w:ascii="Times New Roman" w:hAnsi="Times New Roman" w:eastAsia="仿宋" w:cs="Times New Roman"/>
          <w:color w:val="333333"/>
          <w:spacing w:val="8"/>
          <w:sz w:val="32"/>
          <w:szCs w:val="32"/>
          <w:lang w:eastAsia="zh-CN"/>
        </w:rPr>
        <w:t>%，其他土地面积为604.78公顷，占土地总面积的0.19%。</w:t>
      </w:r>
    </w:p>
    <w:p w14:paraId="174342C4">
      <w:pPr>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br w:type="page"/>
      </w:r>
    </w:p>
    <w:p w14:paraId="313035AB">
      <w:pPr>
        <w:pStyle w:val="24"/>
        <w:spacing w:line="240" w:lineRule="auto"/>
        <w:ind w:firstLine="420"/>
        <w:jc w:val="center"/>
        <w:rPr>
          <w:rFonts w:hint="default" w:ascii="Times New Roman" w:hAnsi="Times New Roman" w:cs="Times New Roman"/>
          <w:b/>
          <w:bCs/>
          <w:sz w:val="28"/>
          <w:szCs w:val="28"/>
          <w:highlight w:val="none"/>
        </w:rPr>
      </w:pPr>
      <w:r>
        <w:rPr>
          <w:rFonts w:hint="eastAsia" w:ascii="Times New Roman" w:hAnsi="Times New Roman" w:cs="Times New Roman"/>
          <w:b/>
          <w:bCs/>
          <w:sz w:val="28"/>
          <w:szCs w:val="28"/>
          <w:highlight w:val="none"/>
          <w:lang w:eastAsia="zh-CN"/>
        </w:rPr>
        <w:t>鸡东县</w:t>
      </w:r>
      <w:r>
        <w:rPr>
          <w:rFonts w:hint="default" w:ascii="Times New Roman" w:hAnsi="Times New Roman" w:cs="Times New Roman"/>
          <w:b/>
          <w:bCs/>
          <w:sz w:val="28"/>
          <w:szCs w:val="28"/>
          <w:highlight w:val="none"/>
        </w:rPr>
        <w:t>土地利用现状表</w:t>
      </w:r>
    </w:p>
    <w:tbl>
      <w:tblPr>
        <w:tblStyle w:val="20"/>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43"/>
        <w:gridCol w:w="1201"/>
        <w:gridCol w:w="1416"/>
        <w:gridCol w:w="1102"/>
        <w:gridCol w:w="2271"/>
        <w:gridCol w:w="1484"/>
      </w:tblGrid>
      <w:tr w14:paraId="09C429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2148" w:type="pct"/>
            <w:gridSpan w:val="3"/>
            <w:tcBorders>
              <w:tl2br w:val="nil"/>
              <w:tr2bl w:val="nil"/>
            </w:tcBorders>
            <w:noWrap w:val="0"/>
            <w:vAlign w:val="center"/>
          </w:tcPr>
          <w:p w14:paraId="52C837D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一级类</w:t>
            </w:r>
          </w:p>
        </w:tc>
        <w:tc>
          <w:tcPr>
            <w:tcW w:w="2851" w:type="pct"/>
            <w:gridSpan w:val="3"/>
            <w:tcBorders>
              <w:tl2br w:val="nil"/>
              <w:tr2bl w:val="nil"/>
            </w:tcBorders>
            <w:noWrap w:val="0"/>
            <w:vAlign w:val="center"/>
          </w:tcPr>
          <w:p w14:paraId="14E9F94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二级类</w:t>
            </w:r>
          </w:p>
        </w:tc>
      </w:tr>
      <w:tr w14:paraId="4DC2C2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612" w:type="pct"/>
            <w:tcBorders>
              <w:tl2br w:val="nil"/>
              <w:tr2bl w:val="nil"/>
            </w:tcBorders>
            <w:noWrap w:val="0"/>
            <w:vAlign w:val="center"/>
          </w:tcPr>
          <w:p w14:paraId="67DBF4E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地类编码</w:t>
            </w:r>
          </w:p>
        </w:tc>
        <w:tc>
          <w:tcPr>
            <w:tcW w:w="705" w:type="pct"/>
            <w:tcBorders>
              <w:tl2br w:val="nil"/>
              <w:tr2bl w:val="nil"/>
            </w:tcBorders>
            <w:noWrap w:val="0"/>
            <w:vAlign w:val="center"/>
          </w:tcPr>
          <w:p w14:paraId="6ECEFDE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地类名称</w:t>
            </w:r>
          </w:p>
        </w:tc>
        <w:tc>
          <w:tcPr>
            <w:tcW w:w="831" w:type="pct"/>
            <w:tcBorders>
              <w:tl2br w:val="nil"/>
              <w:tr2bl w:val="nil"/>
            </w:tcBorders>
            <w:noWrap w:val="0"/>
            <w:vAlign w:val="center"/>
          </w:tcPr>
          <w:p w14:paraId="1D1FA59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面积（公顷）</w:t>
            </w:r>
          </w:p>
        </w:tc>
        <w:tc>
          <w:tcPr>
            <w:tcW w:w="647" w:type="pct"/>
            <w:tcBorders>
              <w:tl2br w:val="nil"/>
              <w:tr2bl w:val="nil"/>
            </w:tcBorders>
            <w:noWrap w:val="0"/>
            <w:vAlign w:val="center"/>
          </w:tcPr>
          <w:p w14:paraId="0C0E943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地类编码</w:t>
            </w:r>
          </w:p>
        </w:tc>
        <w:tc>
          <w:tcPr>
            <w:tcW w:w="1332" w:type="pct"/>
            <w:tcBorders>
              <w:tl2br w:val="nil"/>
              <w:tr2bl w:val="nil"/>
            </w:tcBorders>
            <w:noWrap w:val="0"/>
            <w:vAlign w:val="center"/>
          </w:tcPr>
          <w:p w14:paraId="3942D8B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地类名称</w:t>
            </w:r>
          </w:p>
        </w:tc>
        <w:tc>
          <w:tcPr>
            <w:tcW w:w="871" w:type="pct"/>
            <w:tcBorders>
              <w:tl2br w:val="nil"/>
              <w:tr2bl w:val="nil"/>
            </w:tcBorders>
            <w:noWrap w:val="0"/>
            <w:vAlign w:val="center"/>
          </w:tcPr>
          <w:p w14:paraId="606EF52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面积（公顷）</w:t>
            </w:r>
          </w:p>
        </w:tc>
      </w:tr>
      <w:tr w14:paraId="594FA8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restart"/>
            <w:tcBorders>
              <w:tl2br w:val="nil"/>
              <w:tr2bl w:val="nil"/>
            </w:tcBorders>
            <w:noWrap w:val="0"/>
            <w:vAlign w:val="center"/>
          </w:tcPr>
          <w:p w14:paraId="7E4BF6B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00</w:t>
            </w:r>
          </w:p>
        </w:tc>
        <w:tc>
          <w:tcPr>
            <w:tcW w:w="705" w:type="pct"/>
            <w:vMerge w:val="restart"/>
            <w:tcBorders>
              <w:tl2br w:val="nil"/>
              <w:tr2bl w:val="nil"/>
            </w:tcBorders>
            <w:noWrap w:val="0"/>
            <w:vAlign w:val="center"/>
          </w:tcPr>
          <w:p w14:paraId="136A6F5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湿地</w:t>
            </w:r>
          </w:p>
        </w:tc>
        <w:tc>
          <w:tcPr>
            <w:tcW w:w="831" w:type="pct"/>
            <w:vMerge w:val="restart"/>
            <w:tcBorders>
              <w:tl2br w:val="nil"/>
              <w:tr2bl w:val="nil"/>
            </w:tcBorders>
            <w:noWrap w:val="0"/>
            <w:vAlign w:val="center"/>
          </w:tcPr>
          <w:p w14:paraId="2BB8B25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3563.92</w:t>
            </w:r>
          </w:p>
        </w:tc>
        <w:tc>
          <w:tcPr>
            <w:tcW w:w="647" w:type="pct"/>
            <w:tcBorders>
              <w:tl2br w:val="nil"/>
              <w:tr2bl w:val="nil"/>
            </w:tcBorders>
            <w:noWrap w:val="0"/>
            <w:vAlign w:val="center"/>
          </w:tcPr>
          <w:p w14:paraId="43FC2DE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0304</w:t>
            </w:r>
          </w:p>
        </w:tc>
        <w:tc>
          <w:tcPr>
            <w:tcW w:w="1332" w:type="pct"/>
            <w:tcBorders>
              <w:tl2br w:val="nil"/>
              <w:tr2bl w:val="nil"/>
            </w:tcBorders>
            <w:noWrap w:val="0"/>
            <w:vAlign w:val="center"/>
          </w:tcPr>
          <w:p w14:paraId="40A74A1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森林沼泽</w:t>
            </w:r>
          </w:p>
        </w:tc>
        <w:tc>
          <w:tcPr>
            <w:tcW w:w="871" w:type="pct"/>
            <w:tcBorders>
              <w:tl2br w:val="nil"/>
              <w:tr2bl w:val="nil"/>
            </w:tcBorders>
            <w:noWrap w:val="0"/>
            <w:vAlign w:val="center"/>
          </w:tcPr>
          <w:p w14:paraId="085F21F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980.81</w:t>
            </w:r>
          </w:p>
        </w:tc>
      </w:tr>
      <w:tr w14:paraId="251214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continue"/>
            <w:tcBorders>
              <w:tl2br w:val="nil"/>
              <w:tr2bl w:val="nil"/>
            </w:tcBorders>
            <w:noWrap w:val="0"/>
            <w:vAlign w:val="center"/>
          </w:tcPr>
          <w:p w14:paraId="4FB2532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705" w:type="pct"/>
            <w:vMerge w:val="continue"/>
            <w:tcBorders>
              <w:tl2br w:val="nil"/>
              <w:tr2bl w:val="nil"/>
            </w:tcBorders>
            <w:noWrap w:val="0"/>
            <w:vAlign w:val="center"/>
          </w:tcPr>
          <w:p w14:paraId="79E9FA0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831" w:type="pct"/>
            <w:vMerge w:val="continue"/>
            <w:tcBorders>
              <w:tl2br w:val="nil"/>
              <w:tr2bl w:val="nil"/>
            </w:tcBorders>
            <w:noWrap w:val="0"/>
            <w:vAlign w:val="center"/>
          </w:tcPr>
          <w:p w14:paraId="5EBF73B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647" w:type="pct"/>
            <w:tcBorders>
              <w:tl2br w:val="nil"/>
              <w:tr2bl w:val="nil"/>
            </w:tcBorders>
            <w:noWrap w:val="0"/>
            <w:vAlign w:val="center"/>
          </w:tcPr>
          <w:p w14:paraId="5CECB9C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0306</w:t>
            </w:r>
          </w:p>
        </w:tc>
        <w:tc>
          <w:tcPr>
            <w:tcW w:w="1332" w:type="pct"/>
            <w:tcBorders>
              <w:tl2br w:val="nil"/>
              <w:tr2bl w:val="nil"/>
            </w:tcBorders>
            <w:noWrap w:val="0"/>
            <w:vAlign w:val="center"/>
          </w:tcPr>
          <w:p w14:paraId="7826DE9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灌丛沼泽</w:t>
            </w:r>
          </w:p>
        </w:tc>
        <w:tc>
          <w:tcPr>
            <w:tcW w:w="871" w:type="pct"/>
            <w:tcBorders>
              <w:tl2br w:val="nil"/>
              <w:tr2bl w:val="nil"/>
            </w:tcBorders>
            <w:noWrap w:val="0"/>
            <w:vAlign w:val="center"/>
          </w:tcPr>
          <w:p w14:paraId="11182E5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2008.91</w:t>
            </w:r>
          </w:p>
        </w:tc>
      </w:tr>
      <w:tr w14:paraId="3F16E5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continue"/>
            <w:tcBorders>
              <w:tl2br w:val="nil"/>
              <w:tr2bl w:val="nil"/>
            </w:tcBorders>
            <w:noWrap w:val="0"/>
            <w:vAlign w:val="center"/>
          </w:tcPr>
          <w:p w14:paraId="48DD66B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705" w:type="pct"/>
            <w:vMerge w:val="continue"/>
            <w:tcBorders>
              <w:tl2br w:val="nil"/>
              <w:tr2bl w:val="nil"/>
            </w:tcBorders>
            <w:noWrap w:val="0"/>
            <w:vAlign w:val="center"/>
          </w:tcPr>
          <w:p w14:paraId="31DC3EC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831" w:type="pct"/>
            <w:vMerge w:val="continue"/>
            <w:tcBorders>
              <w:tl2br w:val="nil"/>
              <w:tr2bl w:val="nil"/>
            </w:tcBorders>
            <w:noWrap w:val="0"/>
            <w:vAlign w:val="center"/>
          </w:tcPr>
          <w:p w14:paraId="0E8076F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647" w:type="pct"/>
            <w:tcBorders>
              <w:tl2br w:val="nil"/>
              <w:tr2bl w:val="nil"/>
            </w:tcBorders>
            <w:noWrap w:val="0"/>
            <w:vAlign w:val="center"/>
          </w:tcPr>
          <w:p w14:paraId="1BE7D64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0402</w:t>
            </w:r>
          </w:p>
        </w:tc>
        <w:tc>
          <w:tcPr>
            <w:tcW w:w="1332" w:type="pct"/>
            <w:tcBorders>
              <w:tl2br w:val="nil"/>
              <w:tr2bl w:val="nil"/>
            </w:tcBorders>
            <w:noWrap w:val="0"/>
            <w:vAlign w:val="center"/>
          </w:tcPr>
          <w:p w14:paraId="31F34F9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沼泽草地</w:t>
            </w:r>
          </w:p>
        </w:tc>
        <w:tc>
          <w:tcPr>
            <w:tcW w:w="871" w:type="pct"/>
            <w:tcBorders>
              <w:tl2br w:val="nil"/>
              <w:tr2bl w:val="nil"/>
            </w:tcBorders>
            <w:noWrap w:val="0"/>
            <w:vAlign w:val="center"/>
          </w:tcPr>
          <w:p w14:paraId="3FFA330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574.2</w:t>
            </w:r>
          </w:p>
        </w:tc>
      </w:tr>
      <w:tr w14:paraId="0D55DE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restart"/>
            <w:tcBorders>
              <w:tl2br w:val="nil"/>
              <w:tr2bl w:val="nil"/>
            </w:tcBorders>
            <w:noWrap w:val="0"/>
            <w:vAlign w:val="center"/>
          </w:tcPr>
          <w:p w14:paraId="443FC91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01</w:t>
            </w:r>
          </w:p>
        </w:tc>
        <w:tc>
          <w:tcPr>
            <w:tcW w:w="705" w:type="pct"/>
            <w:vMerge w:val="restart"/>
            <w:tcBorders>
              <w:tl2br w:val="nil"/>
              <w:tr2bl w:val="nil"/>
            </w:tcBorders>
            <w:noWrap w:val="0"/>
            <w:vAlign w:val="center"/>
          </w:tcPr>
          <w:p w14:paraId="77A347A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耕地</w:t>
            </w:r>
          </w:p>
        </w:tc>
        <w:tc>
          <w:tcPr>
            <w:tcW w:w="831" w:type="pct"/>
            <w:vMerge w:val="restart"/>
            <w:tcBorders>
              <w:tl2br w:val="nil"/>
              <w:tr2bl w:val="nil"/>
            </w:tcBorders>
            <w:noWrap w:val="0"/>
            <w:vAlign w:val="center"/>
          </w:tcPr>
          <w:p w14:paraId="5E3FB42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136803.32</w:t>
            </w:r>
          </w:p>
        </w:tc>
        <w:tc>
          <w:tcPr>
            <w:tcW w:w="647" w:type="pct"/>
            <w:tcBorders>
              <w:tl2br w:val="nil"/>
              <w:tr2bl w:val="nil"/>
            </w:tcBorders>
            <w:noWrap w:val="0"/>
            <w:vAlign w:val="center"/>
          </w:tcPr>
          <w:p w14:paraId="1492B93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0101</w:t>
            </w:r>
          </w:p>
        </w:tc>
        <w:tc>
          <w:tcPr>
            <w:tcW w:w="1332" w:type="pct"/>
            <w:tcBorders>
              <w:tl2br w:val="nil"/>
              <w:tr2bl w:val="nil"/>
            </w:tcBorders>
            <w:noWrap w:val="0"/>
            <w:vAlign w:val="center"/>
          </w:tcPr>
          <w:p w14:paraId="053DABA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水田</w:t>
            </w:r>
          </w:p>
        </w:tc>
        <w:tc>
          <w:tcPr>
            <w:tcW w:w="871" w:type="pct"/>
            <w:tcBorders>
              <w:tl2br w:val="nil"/>
              <w:tr2bl w:val="nil"/>
            </w:tcBorders>
            <w:noWrap w:val="0"/>
            <w:vAlign w:val="center"/>
          </w:tcPr>
          <w:p w14:paraId="16BAD02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35356.73</w:t>
            </w:r>
          </w:p>
        </w:tc>
      </w:tr>
      <w:tr w14:paraId="7E27A6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continue"/>
            <w:tcBorders>
              <w:tl2br w:val="nil"/>
              <w:tr2bl w:val="nil"/>
            </w:tcBorders>
            <w:noWrap w:val="0"/>
            <w:vAlign w:val="center"/>
          </w:tcPr>
          <w:p w14:paraId="6FA2595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705" w:type="pct"/>
            <w:vMerge w:val="continue"/>
            <w:tcBorders>
              <w:tl2br w:val="nil"/>
              <w:tr2bl w:val="nil"/>
            </w:tcBorders>
            <w:noWrap w:val="0"/>
            <w:vAlign w:val="center"/>
          </w:tcPr>
          <w:p w14:paraId="0720DC0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831" w:type="pct"/>
            <w:vMerge w:val="continue"/>
            <w:tcBorders>
              <w:tl2br w:val="nil"/>
              <w:tr2bl w:val="nil"/>
            </w:tcBorders>
            <w:noWrap w:val="0"/>
            <w:vAlign w:val="center"/>
          </w:tcPr>
          <w:p w14:paraId="3D63712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647" w:type="pct"/>
            <w:tcBorders>
              <w:tl2br w:val="nil"/>
              <w:tr2bl w:val="nil"/>
            </w:tcBorders>
            <w:noWrap w:val="0"/>
            <w:vAlign w:val="center"/>
          </w:tcPr>
          <w:p w14:paraId="02A98D1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0102</w:t>
            </w:r>
          </w:p>
        </w:tc>
        <w:tc>
          <w:tcPr>
            <w:tcW w:w="1332" w:type="pct"/>
            <w:tcBorders>
              <w:tl2br w:val="nil"/>
              <w:tr2bl w:val="nil"/>
            </w:tcBorders>
            <w:noWrap w:val="0"/>
            <w:vAlign w:val="center"/>
          </w:tcPr>
          <w:p w14:paraId="3B3431B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水浇地</w:t>
            </w:r>
          </w:p>
        </w:tc>
        <w:tc>
          <w:tcPr>
            <w:tcW w:w="871" w:type="pct"/>
            <w:tcBorders>
              <w:tl2br w:val="nil"/>
              <w:tr2bl w:val="nil"/>
            </w:tcBorders>
            <w:noWrap w:val="0"/>
            <w:vAlign w:val="center"/>
          </w:tcPr>
          <w:p w14:paraId="30D7C5B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132.43</w:t>
            </w:r>
          </w:p>
        </w:tc>
      </w:tr>
      <w:tr w14:paraId="2E5C16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continue"/>
            <w:tcBorders>
              <w:tl2br w:val="nil"/>
              <w:tr2bl w:val="nil"/>
            </w:tcBorders>
            <w:noWrap w:val="0"/>
            <w:vAlign w:val="center"/>
          </w:tcPr>
          <w:p w14:paraId="472F1D8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705" w:type="pct"/>
            <w:vMerge w:val="continue"/>
            <w:tcBorders>
              <w:tl2br w:val="nil"/>
              <w:tr2bl w:val="nil"/>
            </w:tcBorders>
            <w:noWrap w:val="0"/>
            <w:vAlign w:val="center"/>
          </w:tcPr>
          <w:p w14:paraId="544D66A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831" w:type="pct"/>
            <w:vMerge w:val="continue"/>
            <w:tcBorders>
              <w:tl2br w:val="nil"/>
              <w:tr2bl w:val="nil"/>
            </w:tcBorders>
            <w:noWrap w:val="0"/>
            <w:vAlign w:val="center"/>
          </w:tcPr>
          <w:p w14:paraId="5843A3D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647" w:type="pct"/>
            <w:tcBorders>
              <w:tl2br w:val="nil"/>
              <w:tr2bl w:val="nil"/>
            </w:tcBorders>
            <w:noWrap w:val="0"/>
            <w:vAlign w:val="center"/>
          </w:tcPr>
          <w:p w14:paraId="6CDC138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0103</w:t>
            </w:r>
          </w:p>
        </w:tc>
        <w:tc>
          <w:tcPr>
            <w:tcW w:w="1332" w:type="pct"/>
            <w:tcBorders>
              <w:tl2br w:val="nil"/>
              <w:tr2bl w:val="nil"/>
            </w:tcBorders>
            <w:noWrap w:val="0"/>
            <w:vAlign w:val="center"/>
          </w:tcPr>
          <w:p w14:paraId="357EEBA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旱地</w:t>
            </w:r>
          </w:p>
        </w:tc>
        <w:tc>
          <w:tcPr>
            <w:tcW w:w="871" w:type="pct"/>
            <w:tcBorders>
              <w:tl2br w:val="nil"/>
              <w:tr2bl w:val="nil"/>
            </w:tcBorders>
            <w:noWrap w:val="0"/>
            <w:vAlign w:val="center"/>
          </w:tcPr>
          <w:p w14:paraId="05E0FD6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101314.16</w:t>
            </w:r>
          </w:p>
        </w:tc>
      </w:tr>
      <w:tr w14:paraId="0EDF1B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restart"/>
            <w:tcBorders>
              <w:tl2br w:val="nil"/>
              <w:tr2bl w:val="nil"/>
            </w:tcBorders>
            <w:noWrap w:val="0"/>
            <w:vAlign w:val="center"/>
          </w:tcPr>
          <w:p w14:paraId="7E096A6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02</w:t>
            </w:r>
          </w:p>
        </w:tc>
        <w:tc>
          <w:tcPr>
            <w:tcW w:w="705" w:type="pct"/>
            <w:vMerge w:val="restart"/>
            <w:tcBorders>
              <w:tl2br w:val="nil"/>
              <w:tr2bl w:val="nil"/>
            </w:tcBorders>
            <w:noWrap w:val="0"/>
            <w:vAlign w:val="center"/>
          </w:tcPr>
          <w:p w14:paraId="47720F3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园地</w:t>
            </w:r>
          </w:p>
        </w:tc>
        <w:tc>
          <w:tcPr>
            <w:tcW w:w="831" w:type="pct"/>
            <w:vMerge w:val="restart"/>
            <w:tcBorders>
              <w:tl2br w:val="nil"/>
              <w:tr2bl w:val="nil"/>
            </w:tcBorders>
            <w:noWrap w:val="0"/>
            <w:vAlign w:val="center"/>
          </w:tcPr>
          <w:p w14:paraId="453780C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1554.11</w:t>
            </w:r>
          </w:p>
        </w:tc>
        <w:tc>
          <w:tcPr>
            <w:tcW w:w="647" w:type="pct"/>
            <w:tcBorders>
              <w:tl2br w:val="nil"/>
              <w:tr2bl w:val="nil"/>
            </w:tcBorders>
            <w:noWrap w:val="0"/>
            <w:vAlign w:val="center"/>
          </w:tcPr>
          <w:p w14:paraId="317E4BD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0201</w:t>
            </w:r>
          </w:p>
        </w:tc>
        <w:tc>
          <w:tcPr>
            <w:tcW w:w="1332" w:type="pct"/>
            <w:tcBorders>
              <w:tl2br w:val="nil"/>
              <w:tr2bl w:val="nil"/>
            </w:tcBorders>
            <w:noWrap w:val="0"/>
            <w:vAlign w:val="center"/>
          </w:tcPr>
          <w:p w14:paraId="70FDD4C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果园</w:t>
            </w:r>
          </w:p>
        </w:tc>
        <w:tc>
          <w:tcPr>
            <w:tcW w:w="871" w:type="pct"/>
            <w:tcBorders>
              <w:tl2br w:val="nil"/>
              <w:tr2bl w:val="nil"/>
            </w:tcBorders>
            <w:noWrap w:val="0"/>
            <w:vAlign w:val="center"/>
          </w:tcPr>
          <w:p w14:paraId="4312EF4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471.65</w:t>
            </w:r>
          </w:p>
        </w:tc>
      </w:tr>
      <w:tr w14:paraId="48EF0E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continue"/>
            <w:tcBorders>
              <w:tl2br w:val="nil"/>
              <w:tr2bl w:val="nil"/>
            </w:tcBorders>
            <w:noWrap w:val="0"/>
            <w:vAlign w:val="center"/>
          </w:tcPr>
          <w:p w14:paraId="7BADDC4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705" w:type="pct"/>
            <w:vMerge w:val="continue"/>
            <w:tcBorders>
              <w:tl2br w:val="nil"/>
              <w:tr2bl w:val="nil"/>
            </w:tcBorders>
            <w:noWrap w:val="0"/>
            <w:vAlign w:val="center"/>
          </w:tcPr>
          <w:p w14:paraId="0A527A5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831" w:type="pct"/>
            <w:vMerge w:val="continue"/>
            <w:tcBorders>
              <w:tl2br w:val="nil"/>
              <w:tr2bl w:val="nil"/>
            </w:tcBorders>
            <w:noWrap w:val="0"/>
            <w:vAlign w:val="center"/>
          </w:tcPr>
          <w:p w14:paraId="272FA51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647" w:type="pct"/>
            <w:tcBorders>
              <w:tl2br w:val="nil"/>
              <w:tr2bl w:val="nil"/>
            </w:tcBorders>
            <w:noWrap w:val="0"/>
            <w:vAlign w:val="center"/>
          </w:tcPr>
          <w:p w14:paraId="2256403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0204</w:t>
            </w:r>
          </w:p>
        </w:tc>
        <w:tc>
          <w:tcPr>
            <w:tcW w:w="1332" w:type="pct"/>
            <w:tcBorders>
              <w:tl2br w:val="nil"/>
              <w:tr2bl w:val="nil"/>
            </w:tcBorders>
            <w:noWrap w:val="0"/>
            <w:vAlign w:val="center"/>
          </w:tcPr>
          <w:p w14:paraId="64FA35F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其他园地</w:t>
            </w:r>
          </w:p>
        </w:tc>
        <w:tc>
          <w:tcPr>
            <w:tcW w:w="871" w:type="pct"/>
            <w:tcBorders>
              <w:tl2br w:val="nil"/>
              <w:tr2bl w:val="nil"/>
            </w:tcBorders>
            <w:noWrap w:val="0"/>
            <w:vAlign w:val="center"/>
          </w:tcPr>
          <w:p w14:paraId="1C3167C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1082.46</w:t>
            </w:r>
          </w:p>
        </w:tc>
      </w:tr>
      <w:tr w14:paraId="6455B2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restart"/>
            <w:tcBorders>
              <w:tl2br w:val="nil"/>
              <w:tr2bl w:val="nil"/>
            </w:tcBorders>
            <w:noWrap w:val="0"/>
            <w:vAlign w:val="center"/>
          </w:tcPr>
          <w:p w14:paraId="38C0EC6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03</w:t>
            </w:r>
          </w:p>
        </w:tc>
        <w:tc>
          <w:tcPr>
            <w:tcW w:w="705" w:type="pct"/>
            <w:vMerge w:val="restart"/>
            <w:tcBorders>
              <w:tl2br w:val="nil"/>
              <w:tr2bl w:val="nil"/>
            </w:tcBorders>
            <w:noWrap w:val="0"/>
            <w:vAlign w:val="center"/>
          </w:tcPr>
          <w:p w14:paraId="0B3C152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林地</w:t>
            </w:r>
          </w:p>
        </w:tc>
        <w:tc>
          <w:tcPr>
            <w:tcW w:w="831" w:type="pct"/>
            <w:vMerge w:val="restart"/>
            <w:tcBorders>
              <w:tl2br w:val="nil"/>
              <w:tr2bl w:val="nil"/>
            </w:tcBorders>
            <w:noWrap w:val="0"/>
            <w:vAlign w:val="center"/>
          </w:tcPr>
          <w:p w14:paraId="06AE0BD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156844.38</w:t>
            </w:r>
          </w:p>
        </w:tc>
        <w:tc>
          <w:tcPr>
            <w:tcW w:w="647" w:type="pct"/>
            <w:tcBorders>
              <w:tl2br w:val="nil"/>
              <w:tr2bl w:val="nil"/>
            </w:tcBorders>
            <w:noWrap w:val="0"/>
            <w:vAlign w:val="center"/>
          </w:tcPr>
          <w:p w14:paraId="42780B9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0301</w:t>
            </w:r>
          </w:p>
        </w:tc>
        <w:tc>
          <w:tcPr>
            <w:tcW w:w="1332" w:type="pct"/>
            <w:tcBorders>
              <w:tl2br w:val="nil"/>
              <w:tr2bl w:val="nil"/>
            </w:tcBorders>
            <w:noWrap w:val="0"/>
            <w:vAlign w:val="center"/>
          </w:tcPr>
          <w:p w14:paraId="0CFB052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乔木林地</w:t>
            </w:r>
          </w:p>
        </w:tc>
        <w:tc>
          <w:tcPr>
            <w:tcW w:w="871" w:type="pct"/>
            <w:tcBorders>
              <w:tl2br w:val="nil"/>
              <w:tr2bl w:val="nil"/>
            </w:tcBorders>
            <w:noWrap w:val="0"/>
            <w:vAlign w:val="center"/>
          </w:tcPr>
          <w:p w14:paraId="6AF2AEC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151327.03</w:t>
            </w:r>
          </w:p>
        </w:tc>
      </w:tr>
      <w:tr w14:paraId="124EF3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continue"/>
            <w:tcBorders>
              <w:tl2br w:val="nil"/>
              <w:tr2bl w:val="nil"/>
            </w:tcBorders>
            <w:noWrap w:val="0"/>
            <w:vAlign w:val="center"/>
          </w:tcPr>
          <w:p w14:paraId="44E1BAB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705" w:type="pct"/>
            <w:vMerge w:val="continue"/>
            <w:tcBorders>
              <w:tl2br w:val="nil"/>
              <w:tr2bl w:val="nil"/>
            </w:tcBorders>
            <w:noWrap w:val="0"/>
            <w:vAlign w:val="center"/>
          </w:tcPr>
          <w:p w14:paraId="59BF0B5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831" w:type="pct"/>
            <w:vMerge w:val="continue"/>
            <w:tcBorders>
              <w:tl2br w:val="nil"/>
              <w:tr2bl w:val="nil"/>
            </w:tcBorders>
            <w:noWrap w:val="0"/>
            <w:vAlign w:val="center"/>
          </w:tcPr>
          <w:p w14:paraId="30CBCFA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647" w:type="pct"/>
            <w:tcBorders>
              <w:tl2br w:val="nil"/>
              <w:tr2bl w:val="nil"/>
            </w:tcBorders>
            <w:noWrap w:val="0"/>
            <w:vAlign w:val="center"/>
          </w:tcPr>
          <w:p w14:paraId="2FB7D80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0305</w:t>
            </w:r>
          </w:p>
        </w:tc>
        <w:tc>
          <w:tcPr>
            <w:tcW w:w="1332" w:type="pct"/>
            <w:tcBorders>
              <w:tl2br w:val="nil"/>
              <w:tr2bl w:val="nil"/>
            </w:tcBorders>
            <w:noWrap w:val="0"/>
            <w:vAlign w:val="center"/>
          </w:tcPr>
          <w:p w14:paraId="46B7ECA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灌木林地</w:t>
            </w:r>
          </w:p>
        </w:tc>
        <w:tc>
          <w:tcPr>
            <w:tcW w:w="871" w:type="pct"/>
            <w:tcBorders>
              <w:tl2br w:val="nil"/>
              <w:tr2bl w:val="nil"/>
            </w:tcBorders>
            <w:noWrap w:val="0"/>
            <w:vAlign w:val="center"/>
          </w:tcPr>
          <w:p w14:paraId="516F200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366.45</w:t>
            </w:r>
          </w:p>
        </w:tc>
      </w:tr>
      <w:tr w14:paraId="18A764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continue"/>
            <w:tcBorders>
              <w:tl2br w:val="nil"/>
              <w:tr2bl w:val="nil"/>
            </w:tcBorders>
            <w:noWrap w:val="0"/>
            <w:vAlign w:val="center"/>
          </w:tcPr>
          <w:p w14:paraId="262F7C5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705" w:type="pct"/>
            <w:vMerge w:val="continue"/>
            <w:tcBorders>
              <w:tl2br w:val="nil"/>
              <w:tr2bl w:val="nil"/>
            </w:tcBorders>
            <w:noWrap w:val="0"/>
            <w:vAlign w:val="center"/>
          </w:tcPr>
          <w:p w14:paraId="32C3F11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831" w:type="pct"/>
            <w:vMerge w:val="continue"/>
            <w:tcBorders>
              <w:tl2br w:val="nil"/>
              <w:tr2bl w:val="nil"/>
            </w:tcBorders>
            <w:noWrap w:val="0"/>
            <w:vAlign w:val="center"/>
          </w:tcPr>
          <w:p w14:paraId="11B9EAB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647" w:type="pct"/>
            <w:tcBorders>
              <w:tl2br w:val="nil"/>
              <w:tr2bl w:val="nil"/>
            </w:tcBorders>
            <w:noWrap w:val="0"/>
            <w:vAlign w:val="center"/>
          </w:tcPr>
          <w:p w14:paraId="46EA3A6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0307</w:t>
            </w:r>
          </w:p>
        </w:tc>
        <w:tc>
          <w:tcPr>
            <w:tcW w:w="1332" w:type="pct"/>
            <w:tcBorders>
              <w:tl2br w:val="nil"/>
              <w:tr2bl w:val="nil"/>
            </w:tcBorders>
            <w:noWrap w:val="0"/>
            <w:vAlign w:val="center"/>
          </w:tcPr>
          <w:p w14:paraId="7BC324C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其他林地</w:t>
            </w:r>
          </w:p>
        </w:tc>
        <w:tc>
          <w:tcPr>
            <w:tcW w:w="871" w:type="pct"/>
            <w:tcBorders>
              <w:tl2br w:val="nil"/>
              <w:tr2bl w:val="nil"/>
            </w:tcBorders>
            <w:noWrap w:val="0"/>
            <w:vAlign w:val="center"/>
          </w:tcPr>
          <w:p w14:paraId="2956363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5150.9</w:t>
            </w:r>
          </w:p>
        </w:tc>
      </w:tr>
      <w:tr w14:paraId="3C9D31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tcBorders>
              <w:tl2br w:val="nil"/>
              <w:tr2bl w:val="nil"/>
            </w:tcBorders>
            <w:noWrap w:val="0"/>
            <w:vAlign w:val="center"/>
          </w:tcPr>
          <w:p w14:paraId="1B8098D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04</w:t>
            </w:r>
          </w:p>
        </w:tc>
        <w:tc>
          <w:tcPr>
            <w:tcW w:w="705" w:type="pct"/>
            <w:tcBorders>
              <w:tl2br w:val="nil"/>
              <w:tr2bl w:val="nil"/>
            </w:tcBorders>
            <w:noWrap w:val="0"/>
            <w:vAlign w:val="center"/>
          </w:tcPr>
          <w:p w14:paraId="1C2C2DE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草地</w:t>
            </w:r>
          </w:p>
        </w:tc>
        <w:tc>
          <w:tcPr>
            <w:tcW w:w="831" w:type="pct"/>
            <w:tcBorders>
              <w:tl2br w:val="nil"/>
              <w:tr2bl w:val="nil"/>
            </w:tcBorders>
            <w:noWrap w:val="0"/>
            <w:vAlign w:val="center"/>
          </w:tcPr>
          <w:p w14:paraId="7A81947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2083.87</w:t>
            </w:r>
          </w:p>
        </w:tc>
        <w:tc>
          <w:tcPr>
            <w:tcW w:w="647" w:type="pct"/>
            <w:tcBorders>
              <w:tl2br w:val="nil"/>
              <w:tr2bl w:val="nil"/>
            </w:tcBorders>
            <w:noWrap w:val="0"/>
            <w:vAlign w:val="center"/>
          </w:tcPr>
          <w:p w14:paraId="4E7933A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0404</w:t>
            </w:r>
          </w:p>
        </w:tc>
        <w:tc>
          <w:tcPr>
            <w:tcW w:w="1332" w:type="pct"/>
            <w:tcBorders>
              <w:tl2br w:val="nil"/>
              <w:tr2bl w:val="nil"/>
            </w:tcBorders>
            <w:noWrap w:val="0"/>
            <w:vAlign w:val="center"/>
          </w:tcPr>
          <w:p w14:paraId="5758559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其他草地</w:t>
            </w:r>
          </w:p>
        </w:tc>
        <w:tc>
          <w:tcPr>
            <w:tcW w:w="871" w:type="pct"/>
            <w:tcBorders>
              <w:tl2br w:val="nil"/>
              <w:tr2bl w:val="nil"/>
            </w:tcBorders>
            <w:noWrap w:val="0"/>
            <w:vAlign w:val="center"/>
          </w:tcPr>
          <w:p w14:paraId="5665DCF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2083.87</w:t>
            </w:r>
          </w:p>
        </w:tc>
      </w:tr>
      <w:tr w14:paraId="3B7F7F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restart"/>
            <w:tcBorders>
              <w:tl2br w:val="nil"/>
              <w:tr2bl w:val="nil"/>
            </w:tcBorders>
            <w:noWrap w:val="0"/>
            <w:vAlign w:val="center"/>
          </w:tcPr>
          <w:p w14:paraId="07AA14F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05</w:t>
            </w:r>
          </w:p>
        </w:tc>
        <w:tc>
          <w:tcPr>
            <w:tcW w:w="705" w:type="pct"/>
            <w:vMerge w:val="restart"/>
            <w:tcBorders>
              <w:tl2br w:val="nil"/>
              <w:tr2bl w:val="nil"/>
            </w:tcBorders>
            <w:noWrap w:val="0"/>
            <w:vAlign w:val="center"/>
          </w:tcPr>
          <w:p w14:paraId="5954429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商业服务业用地</w:t>
            </w:r>
          </w:p>
        </w:tc>
        <w:tc>
          <w:tcPr>
            <w:tcW w:w="831" w:type="pct"/>
            <w:vMerge w:val="restart"/>
            <w:tcBorders>
              <w:tl2br w:val="nil"/>
              <w:tr2bl w:val="nil"/>
            </w:tcBorders>
            <w:noWrap w:val="0"/>
            <w:vAlign w:val="center"/>
          </w:tcPr>
          <w:p w14:paraId="1F0455E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275.79</w:t>
            </w:r>
          </w:p>
        </w:tc>
        <w:tc>
          <w:tcPr>
            <w:tcW w:w="647" w:type="pct"/>
            <w:tcBorders>
              <w:tl2br w:val="nil"/>
              <w:tr2bl w:val="nil"/>
            </w:tcBorders>
            <w:noWrap w:val="0"/>
            <w:vAlign w:val="center"/>
          </w:tcPr>
          <w:p w14:paraId="05C6EDC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0508</w:t>
            </w:r>
          </w:p>
        </w:tc>
        <w:tc>
          <w:tcPr>
            <w:tcW w:w="1332" w:type="pct"/>
            <w:tcBorders>
              <w:tl2br w:val="nil"/>
              <w:tr2bl w:val="nil"/>
            </w:tcBorders>
            <w:noWrap w:val="0"/>
            <w:vAlign w:val="center"/>
          </w:tcPr>
          <w:p w14:paraId="2D4460D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物流仓储用地</w:t>
            </w:r>
          </w:p>
        </w:tc>
        <w:tc>
          <w:tcPr>
            <w:tcW w:w="871" w:type="pct"/>
            <w:tcBorders>
              <w:tl2br w:val="nil"/>
              <w:tr2bl w:val="nil"/>
            </w:tcBorders>
            <w:noWrap w:val="0"/>
            <w:vAlign w:val="center"/>
          </w:tcPr>
          <w:p w14:paraId="46C4EA1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179.14</w:t>
            </w:r>
          </w:p>
        </w:tc>
      </w:tr>
      <w:tr w14:paraId="4DE6C8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continue"/>
            <w:tcBorders>
              <w:tl2br w:val="nil"/>
              <w:tr2bl w:val="nil"/>
            </w:tcBorders>
            <w:noWrap w:val="0"/>
            <w:vAlign w:val="center"/>
          </w:tcPr>
          <w:p w14:paraId="48174B5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705" w:type="pct"/>
            <w:vMerge w:val="continue"/>
            <w:tcBorders>
              <w:tl2br w:val="nil"/>
              <w:tr2bl w:val="nil"/>
            </w:tcBorders>
            <w:noWrap w:val="0"/>
            <w:vAlign w:val="center"/>
          </w:tcPr>
          <w:p w14:paraId="212F54F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831" w:type="pct"/>
            <w:vMerge w:val="continue"/>
            <w:tcBorders>
              <w:tl2br w:val="nil"/>
              <w:tr2bl w:val="nil"/>
            </w:tcBorders>
            <w:noWrap w:val="0"/>
            <w:vAlign w:val="center"/>
          </w:tcPr>
          <w:p w14:paraId="71284FE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647" w:type="pct"/>
            <w:tcBorders>
              <w:tl2br w:val="nil"/>
              <w:tr2bl w:val="nil"/>
            </w:tcBorders>
            <w:noWrap w:val="0"/>
            <w:vAlign w:val="center"/>
          </w:tcPr>
          <w:p w14:paraId="1BE9826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05H1</w:t>
            </w:r>
          </w:p>
        </w:tc>
        <w:tc>
          <w:tcPr>
            <w:tcW w:w="1332" w:type="pct"/>
            <w:tcBorders>
              <w:tl2br w:val="nil"/>
              <w:tr2bl w:val="nil"/>
            </w:tcBorders>
            <w:noWrap w:val="0"/>
            <w:vAlign w:val="center"/>
          </w:tcPr>
          <w:p w14:paraId="15C55E0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商业服务业设施用地</w:t>
            </w:r>
          </w:p>
        </w:tc>
        <w:tc>
          <w:tcPr>
            <w:tcW w:w="871" w:type="pct"/>
            <w:tcBorders>
              <w:tl2br w:val="nil"/>
              <w:tr2bl w:val="nil"/>
            </w:tcBorders>
            <w:noWrap w:val="0"/>
            <w:vAlign w:val="center"/>
          </w:tcPr>
          <w:p w14:paraId="226A625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96.65</w:t>
            </w:r>
          </w:p>
        </w:tc>
      </w:tr>
      <w:tr w14:paraId="5D0604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restart"/>
            <w:tcBorders>
              <w:tl2br w:val="nil"/>
              <w:tr2bl w:val="nil"/>
            </w:tcBorders>
            <w:noWrap w:val="0"/>
            <w:vAlign w:val="center"/>
          </w:tcPr>
          <w:p w14:paraId="78AB3C4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06</w:t>
            </w:r>
          </w:p>
        </w:tc>
        <w:tc>
          <w:tcPr>
            <w:tcW w:w="705" w:type="pct"/>
            <w:vMerge w:val="restart"/>
            <w:tcBorders>
              <w:tl2br w:val="nil"/>
              <w:tr2bl w:val="nil"/>
            </w:tcBorders>
            <w:noWrap w:val="0"/>
            <w:vAlign w:val="center"/>
          </w:tcPr>
          <w:p w14:paraId="2261756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工矿用地</w:t>
            </w:r>
          </w:p>
        </w:tc>
        <w:tc>
          <w:tcPr>
            <w:tcW w:w="831" w:type="pct"/>
            <w:vMerge w:val="restart"/>
            <w:tcBorders>
              <w:tl2br w:val="nil"/>
              <w:tr2bl w:val="nil"/>
            </w:tcBorders>
            <w:noWrap w:val="0"/>
            <w:vAlign w:val="center"/>
          </w:tcPr>
          <w:p w14:paraId="66CDFD0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2181.56</w:t>
            </w:r>
          </w:p>
        </w:tc>
        <w:tc>
          <w:tcPr>
            <w:tcW w:w="647" w:type="pct"/>
            <w:tcBorders>
              <w:tl2br w:val="nil"/>
              <w:tr2bl w:val="nil"/>
            </w:tcBorders>
            <w:noWrap w:val="0"/>
            <w:vAlign w:val="center"/>
          </w:tcPr>
          <w:p w14:paraId="4E81005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0601</w:t>
            </w:r>
          </w:p>
        </w:tc>
        <w:tc>
          <w:tcPr>
            <w:tcW w:w="1332" w:type="pct"/>
            <w:tcBorders>
              <w:tl2br w:val="nil"/>
              <w:tr2bl w:val="nil"/>
            </w:tcBorders>
            <w:noWrap w:val="0"/>
            <w:vAlign w:val="center"/>
          </w:tcPr>
          <w:p w14:paraId="705576A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工业用地</w:t>
            </w:r>
          </w:p>
        </w:tc>
        <w:tc>
          <w:tcPr>
            <w:tcW w:w="871" w:type="pct"/>
            <w:tcBorders>
              <w:tl2br w:val="nil"/>
              <w:tr2bl w:val="nil"/>
            </w:tcBorders>
            <w:noWrap w:val="0"/>
            <w:vAlign w:val="center"/>
          </w:tcPr>
          <w:p w14:paraId="6B1A178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732.87</w:t>
            </w:r>
          </w:p>
        </w:tc>
      </w:tr>
      <w:tr w14:paraId="37B5AA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continue"/>
            <w:tcBorders>
              <w:tl2br w:val="nil"/>
              <w:tr2bl w:val="nil"/>
            </w:tcBorders>
            <w:noWrap w:val="0"/>
            <w:vAlign w:val="center"/>
          </w:tcPr>
          <w:p w14:paraId="19A18F7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705" w:type="pct"/>
            <w:vMerge w:val="continue"/>
            <w:tcBorders>
              <w:tl2br w:val="nil"/>
              <w:tr2bl w:val="nil"/>
            </w:tcBorders>
            <w:noWrap w:val="0"/>
            <w:vAlign w:val="center"/>
          </w:tcPr>
          <w:p w14:paraId="19CA157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831" w:type="pct"/>
            <w:vMerge w:val="continue"/>
            <w:tcBorders>
              <w:tl2br w:val="nil"/>
              <w:tr2bl w:val="nil"/>
            </w:tcBorders>
            <w:noWrap w:val="0"/>
            <w:vAlign w:val="center"/>
          </w:tcPr>
          <w:p w14:paraId="5E0F2DA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647" w:type="pct"/>
            <w:tcBorders>
              <w:tl2br w:val="nil"/>
              <w:tr2bl w:val="nil"/>
            </w:tcBorders>
            <w:noWrap w:val="0"/>
            <w:vAlign w:val="center"/>
          </w:tcPr>
          <w:p w14:paraId="5449285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0602</w:t>
            </w:r>
          </w:p>
        </w:tc>
        <w:tc>
          <w:tcPr>
            <w:tcW w:w="1332" w:type="pct"/>
            <w:tcBorders>
              <w:tl2br w:val="nil"/>
              <w:tr2bl w:val="nil"/>
            </w:tcBorders>
            <w:noWrap w:val="0"/>
            <w:vAlign w:val="center"/>
          </w:tcPr>
          <w:p w14:paraId="0884B4C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采矿用地</w:t>
            </w:r>
          </w:p>
        </w:tc>
        <w:tc>
          <w:tcPr>
            <w:tcW w:w="871" w:type="pct"/>
            <w:tcBorders>
              <w:tl2br w:val="nil"/>
              <w:tr2bl w:val="nil"/>
            </w:tcBorders>
            <w:noWrap w:val="0"/>
            <w:vAlign w:val="center"/>
          </w:tcPr>
          <w:p w14:paraId="3BB097A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1448.69</w:t>
            </w:r>
          </w:p>
        </w:tc>
      </w:tr>
      <w:tr w14:paraId="7CD765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restart"/>
            <w:tcBorders>
              <w:tl2br w:val="nil"/>
              <w:tr2bl w:val="nil"/>
            </w:tcBorders>
            <w:noWrap w:val="0"/>
            <w:vAlign w:val="center"/>
          </w:tcPr>
          <w:p w14:paraId="3EACB79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07</w:t>
            </w:r>
          </w:p>
        </w:tc>
        <w:tc>
          <w:tcPr>
            <w:tcW w:w="705" w:type="pct"/>
            <w:vMerge w:val="restart"/>
            <w:tcBorders>
              <w:tl2br w:val="nil"/>
              <w:tr2bl w:val="nil"/>
            </w:tcBorders>
            <w:noWrap w:val="0"/>
            <w:vAlign w:val="center"/>
          </w:tcPr>
          <w:p w14:paraId="313C0A6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住宅用地</w:t>
            </w:r>
          </w:p>
        </w:tc>
        <w:tc>
          <w:tcPr>
            <w:tcW w:w="831" w:type="pct"/>
            <w:vMerge w:val="restart"/>
            <w:tcBorders>
              <w:tl2br w:val="nil"/>
              <w:tr2bl w:val="nil"/>
            </w:tcBorders>
            <w:noWrap w:val="0"/>
            <w:vAlign w:val="center"/>
          </w:tcPr>
          <w:p w14:paraId="248C6C5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4087.44</w:t>
            </w:r>
          </w:p>
        </w:tc>
        <w:tc>
          <w:tcPr>
            <w:tcW w:w="647" w:type="pct"/>
            <w:tcBorders>
              <w:tl2br w:val="nil"/>
              <w:tr2bl w:val="nil"/>
            </w:tcBorders>
            <w:noWrap w:val="0"/>
            <w:vAlign w:val="center"/>
          </w:tcPr>
          <w:p w14:paraId="4AB2CF4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0701</w:t>
            </w:r>
          </w:p>
        </w:tc>
        <w:tc>
          <w:tcPr>
            <w:tcW w:w="1332" w:type="pct"/>
            <w:tcBorders>
              <w:tl2br w:val="nil"/>
              <w:tr2bl w:val="nil"/>
            </w:tcBorders>
            <w:noWrap w:val="0"/>
            <w:vAlign w:val="center"/>
          </w:tcPr>
          <w:p w14:paraId="57F0384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城镇住宅用地</w:t>
            </w:r>
          </w:p>
        </w:tc>
        <w:tc>
          <w:tcPr>
            <w:tcW w:w="871" w:type="pct"/>
            <w:tcBorders>
              <w:tl2br w:val="nil"/>
              <w:tr2bl w:val="nil"/>
            </w:tcBorders>
            <w:noWrap w:val="0"/>
            <w:vAlign w:val="center"/>
          </w:tcPr>
          <w:p w14:paraId="50C9747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1349.8</w:t>
            </w:r>
          </w:p>
        </w:tc>
      </w:tr>
      <w:tr w14:paraId="21A956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continue"/>
            <w:tcBorders>
              <w:tl2br w:val="nil"/>
              <w:tr2bl w:val="nil"/>
            </w:tcBorders>
            <w:noWrap w:val="0"/>
            <w:vAlign w:val="center"/>
          </w:tcPr>
          <w:p w14:paraId="30327DB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705" w:type="pct"/>
            <w:vMerge w:val="continue"/>
            <w:tcBorders>
              <w:tl2br w:val="nil"/>
              <w:tr2bl w:val="nil"/>
            </w:tcBorders>
            <w:noWrap w:val="0"/>
            <w:vAlign w:val="center"/>
          </w:tcPr>
          <w:p w14:paraId="6723BFC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831" w:type="pct"/>
            <w:vMerge w:val="continue"/>
            <w:tcBorders>
              <w:tl2br w:val="nil"/>
              <w:tr2bl w:val="nil"/>
            </w:tcBorders>
            <w:noWrap w:val="0"/>
            <w:vAlign w:val="center"/>
          </w:tcPr>
          <w:p w14:paraId="4129A71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647" w:type="pct"/>
            <w:tcBorders>
              <w:tl2br w:val="nil"/>
              <w:tr2bl w:val="nil"/>
            </w:tcBorders>
            <w:noWrap w:val="0"/>
            <w:vAlign w:val="center"/>
          </w:tcPr>
          <w:p w14:paraId="75D3DB6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0702</w:t>
            </w:r>
          </w:p>
        </w:tc>
        <w:tc>
          <w:tcPr>
            <w:tcW w:w="1332" w:type="pct"/>
            <w:tcBorders>
              <w:tl2br w:val="nil"/>
              <w:tr2bl w:val="nil"/>
            </w:tcBorders>
            <w:noWrap w:val="0"/>
            <w:vAlign w:val="center"/>
          </w:tcPr>
          <w:p w14:paraId="0C49D54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农村宅基地</w:t>
            </w:r>
          </w:p>
        </w:tc>
        <w:tc>
          <w:tcPr>
            <w:tcW w:w="871" w:type="pct"/>
            <w:tcBorders>
              <w:tl2br w:val="nil"/>
              <w:tr2bl w:val="nil"/>
            </w:tcBorders>
            <w:noWrap w:val="0"/>
            <w:vAlign w:val="center"/>
          </w:tcPr>
          <w:p w14:paraId="11BAA4E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2737.64</w:t>
            </w:r>
          </w:p>
        </w:tc>
      </w:tr>
      <w:tr w14:paraId="5E5B31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restart"/>
            <w:tcBorders>
              <w:tl2br w:val="nil"/>
              <w:tr2bl w:val="nil"/>
            </w:tcBorders>
            <w:noWrap w:val="0"/>
            <w:vAlign w:val="center"/>
          </w:tcPr>
          <w:p w14:paraId="1B7A649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08</w:t>
            </w:r>
          </w:p>
        </w:tc>
        <w:tc>
          <w:tcPr>
            <w:tcW w:w="705" w:type="pct"/>
            <w:vMerge w:val="restart"/>
            <w:tcBorders>
              <w:tl2br w:val="nil"/>
              <w:tr2bl w:val="nil"/>
            </w:tcBorders>
            <w:noWrap w:val="0"/>
            <w:vAlign w:val="center"/>
          </w:tcPr>
          <w:p w14:paraId="502D547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公共管理与公共服务用地</w:t>
            </w:r>
          </w:p>
        </w:tc>
        <w:tc>
          <w:tcPr>
            <w:tcW w:w="831" w:type="pct"/>
            <w:vMerge w:val="restart"/>
            <w:tcBorders>
              <w:tl2br w:val="nil"/>
              <w:tr2bl w:val="nil"/>
            </w:tcBorders>
            <w:noWrap w:val="0"/>
            <w:vAlign w:val="center"/>
          </w:tcPr>
          <w:p w14:paraId="21422C2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371.44</w:t>
            </w:r>
          </w:p>
        </w:tc>
        <w:tc>
          <w:tcPr>
            <w:tcW w:w="647" w:type="pct"/>
            <w:tcBorders>
              <w:tl2br w:val="nil"/>
              <w:tr2bl w:val="nil"/>
            </w:tcBorders>
            <w:noWrap w:val="0"/>
            <w:vAlign w:val="center"/>
          </w:tcPr>
          <w:p w14:paraId="0837961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0809</w:t>
            </w:r>
          </w:p>
        </w:tc>
        <w:tc>
          <w:tcPr>
            <w:tcW w:w="1332" w:type="pct"/>
            <w:tcBorders>
              <w:tl2br w:val="nil"/>
              <w:tr2bl w:val="nil"/>
            </w:tcBorders>
            <w:noWrap w:val="0"/>
            <w:vAlign w:val="center"/>
          </w:tcPr>
          <w:p w14:paraId="7D94820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公用设施用地</w:t>
            </w:r>
          </w:p>
        </w:tc>
        <w:tc>
          <w:tcPr>
            <w:tcW w:w="871" w:type="pct"/>
            <w:tcBorders>
              <w:tl2br w:val="nil"/>
              <w:tr2bl w:val="nil"/>
            </w:tcBorders>
            <w:noWrap w:val="0"/>
            <w:vAlign w:val="center"/>
          </w:tcPr>
          <w:p w14:paraId="450F0A7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114.84</w:t>
            </w:r>
          </w:p>
        </w:tc>
      </w:tr>
      <w:tr w14:paraId="0D69D5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continue"/>
            <w:tcBorders>
              <w:tl2br w:val="nil"/>
              <w:tr2bl w:val="nil"/>
            </w:tcBorders>
            <w:noWrap w:val="0"/>
            <w:vAlign w:val="center"/>
          </w:tcPr>
          <w:p w14:paraId="0452979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705" w:type="pct"/>
            <w:vMerge w:val="continue"/>
            <w:tcBorders>
              <w:tl2br w:val="nil"/>
              <w:tr2bl w:val="nil"/>
            </w:tcBorders>
            <w:noWrap w:val="0"/>
            <w:vAlign w:val="center"/>
          </w:tcPr>
          <w:p w14:paraId="31DEECB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831" w:type="pct"/>
            <w:vMerge w:val="continue"/>
            <w:tcBorders>
              <w:tl2br w:val="nil"/>
              <w:tr2bl w:val="nil"/>
            </w:tcBorders>
            <w:noWrap w:val="0"/>
            <w:vAlign w:val="center"/>
          </w:tcPr>
          <w:p w14:paraId="77A910E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647" w:type="pct"/>
            <w:tcBorders>
              <w:tl2br w:val="nil"/>
              <w:tr2bl w:val="nil"/>
            </w:tcBorders>
            <w:noWrap w:val="0"/>
            <w:vAlign w:val="center"/>
          </w:tcPr>
          <w:p w14:paraId="0997930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0810</w:t>
            </w:r>
          </w:p>
        </w:tc>
        <w:tc>
          <w:tcPr>
            <w:tcW w:w="1332" w:type="pct"/>
            <w:tcBorders>
              <w:tl2br w:val="nil"/>
              <w:tr2bl w:val="nil"/>
            </w:tcBorders>
            <w:noWrap w:val="0"/>
            <w:vAlign w:val="center"/>
          </w:tcPr>
          <w:p w14:paraId="18A852C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公园与绿地</w:t>
            </w:r>
          </w:p>
        </w:tc>
        <w:tc>
          <w:tcPr>
            <w:tcW w:w="871" w:type="pct"/>
            <w:tcBorders>
              <w:tl2br w:val="nil"/>
              <w:tr2bl w:val="nil"/>
            </w:tcBorders>
            <w:noWrap w:val="0"/>
            <w:vAlign w:val="center"/>
          </w:tcPr>
          <w:p w14:paraId="1E9BEE3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16.64</w:t>
            </w:r>
          </w:p>
        </w:tc>
      </w:tr>
      <w:tr w14:paraId="673D86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continue"/>
            <w:tcBorders>
              <w:tl2br w:val="nil"/>
              <w:tr2bl w:val="nil"/>
            </w:tcBorders>
            <w:noWrap w:val="0"/>
            <w:vAlign w:val="center"/>
          </w:tcPr>
          <w:p w14:paraId="457E663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705" w:type="pct"/>
            <w:vMerge w:val="continue"/>
            <w:tcBorders>
              <w:tl2br w:val="nil"/>
              <w:tr2bl w:val="nil"/>
            </w:tcBorders>
            <w:noWrap w:val="0"/>
            <w:vAlign w:val="center"/>
          </w:tcPr>
          <w:p w14:paraId="15B7806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831" w:type="pct"/>
            <w:vMerge w:val="continue"/>
            <w:tcBorders>
              <w:tl2br w:val="nil"/>
              <w:tr2bl w:val="nil"/>
            </w:tcBorders>
            <w:noWrap w:val="0"/>
            <w:vAlign w:val="center"/>
          </w:tcPr>
          <w:p w14:paraId="4795D18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647" w:type="pct"/>
            <w:tcBorders>
              <w:tl2br w:val="nil"/>
              <w:tr2bl w:val="nil"/>
            </w:tcBorders>
            <w:noWrap w:val="0"/>
            <w:vAlign w:val="center"/>
          </w:tcPr>
          <w:p w14:paraId="016580B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0810A</w:t>
            </w:r>
          </w:p>
        </w:tc>
        <w:tc>
          <w:tcPr>
            <w:tcW w:w="1332" w:type="pct"/>
            <w:tcBorders>
              <w:tl2br w:val="nil"/>
              <w:tr2bl w:val="nil"/>
            </w:tcBorders>
            <w:noWrap w:val="0"/>
            <w:vAlign w:val="center"/>
          </w:tcPr>
          <w:p w14:paraId="585D7C5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广场用地</w:t>
            </w:r>
          </w:p>
        </w:tc>
        <w:tc>
          <w:tcPr>
            <w:tcW w:w="871" w:type="pct"/>
            <w:tcBorders>
              <w:tl2br w:val="nil"/>
              <w:tr2bl w:val="nil"/>
            </w:tcBorders>
            <w:noWrap w:val="0"/>
            <w:vAlign w:val="center"/>
          </w:tcPr>
          <w:p w14:paraId="2B2D073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7.09</w:t>
            </w:r>
          </w:p>
        </w:tc>
      </w:tr>
      <w:tr w14:paraId="6B8874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continue"/>
            <w:tcBorders>
              <w:tl2br w:val="nil"/>
              <w:tr2bl w:val="nil"/>
            </w:tcBorders>
            <w:noWrap w:val="0"/>
            <w:vAlign w:val="center"/>
          </w:tcPr>
          <w:p w14:paraId="3894310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705" w:type="pct"/>
            <w:vMerge w:val="continue"/>
            <w:tcBorders>
              <w:tl2br w:val="nil"/>
              <w:tr2bl w:val="nil"/>
            </w:tcBorders>
            <w:noWrap w:val="0"/>
            <w:vAlign w:val="center"/>
          </w:tcPr>
          <w:p w14:paraId="357A813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831" w:type="pct"/>
            <w:vMerge w:val="continue"/>
            <w:tcBorders>
              <w:tl2br w:val="nil"/>
              <w:tr2bl w:val="nil"/>
            </w:tcBorders>
            <w:noWrap w:val="0"/>
            <w:vAlign w:val="center"/>
          </w:tcPr>
          <w:p w14:paraId="7A294EB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647" w:type="pct"/>
            <w:tcBorders>
              <w:tl2br w:val="nil"/>
              <w:tr2bl w:val="nil"/>
            </w:tcBorders>
            <w:noWrap w:val="0"/>
            <w:vAlign w:val="center"/>
          </w:tcPr>
          <w:p w14:paraId="6A6DDB5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08H1</w:t>
            </w:r>
          </w:p>
        </w:tc>
        <w:tc>
          <w:tcPr>
            <w:tcW w:w="1332" w:type="pct"/>
            <w:tcBorders>
              <w:tl2br w:val="nil"/>
              <w:tr2bl w:val="nil"/>
            </w:tcBorders>
            <w:noWrap w:val="0"/>
            <w:vAlign w:val="center"/>
          </w:tcPr>
          <w:p w14:paraId="48CC90B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机关团体新闻出版用地</w:t>
            </w:r>
          </w:p>
        </w:tc>
        <w:tc>
          <w:tcPr>
            <w:tcW w:w="871" w:type="pct"/>
            <w:tcBorders>
              <w:tl2br w:val="nil"/>
              <w:tr2bl w:val="nil"/>
            </w:tcBorders>
            <w:noWrap w:val="0"/>
            <w:vAlign w:val="center"/>
          </w:tcPr>
          <w:p w14:paraId="72E4CF9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77.48</w:t>
            </w:r>
          </w:p>
        </w:tc>
      </w:tr>
      <w:tr w14:paraId="1FB0B5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continue"/>
            <w:tcBorders>
              <w:tl2br w:val="nil"/>
              <w:tr2bl w:val="nil"/>
            </w:tcBorders>
            <w:noWrap w:val="0"/>
            <w:vAlign w:val="center"/>
          </w:tcPr>
          <w:p w14:paraId="2209E62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705" w:type="pct"/>
            <w:vMerge w:val="continue"/>
            <w:tcBorders>
              <w:tl2br w:val="nil"/>
              <w:tr2bl w:val="nil"/>
            </w:tcBorders>
            <w:noWrap w:val="0"/>
            <w:vAlign w:val="center"/>
          </w:tcPr>
          <w:p w14:paraId="5F0F6A1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831" w:type="pct"/>
            <w:vMerge w:val="continue"/>
            <w:tcBorders>
              <w:tl2br w:val="nil"/>
              <w:tr2bl w:val="nil"/>
            </w:tcBorders>
            <w:noWrap w:val="0"/>
            <w:vAlign w:val="center"/>
          </w:tcPr>
          <w:p w14:paraId="08C76BE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647" w:type="pct"/>
            <w:tcBorders>
              <w:tl2br w:val="nil"/>
              <w:tr2bl w:val="nil"/>
            </w:tcBorders>
            <w:noWrap w:val="0"/>
            <w:vAlign w:val="center"/>
          </w:tcPr>
          <w:p w14:paraId="625837A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08H2</w:t>
            </w:r>
          </w:p>
        </w:tc>
        <w:tc>
          <w:tcPr>
            <w:tcW w:w="1332" w:type="pct"/>
            <w:tcBorders>
              <w:tl2br w:val="nil"/>
              <w:tr2bl w:val="nil"/>
            </w:tcBorders>
            <w:noWrap w:val="0"/>
            <w:vAlign w:val="center"/>
          </w:tcPr>
          <w:p w14:paraId="6AC9655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科教文卫用地</w:t>
            </w:r>
          </w:p>
        </w:tc>
        <w:tc>
          <w:tcPr>
            <w:tcW w:w="871" w:type="pct"/>
            <w:tcBorders>
              <w:tl2br w:val="nil"/>
              <w:tr2bl w:val="nil"/>
            </w:tcBorders>
            <w:noWrap w:val="0"/>
            <w:vAlign w:val="center"/>
          </w:tcPr>
          <w:p w14:paraId="7769605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155.39</w:t>
            </w:r>
          </w:p>
        </w:tc>
      </w:tr>
      <w:tr w14:paraId="07CEFB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tcBorders>
              <w:tl2br w:val="nil"/>
              <w:tr2bl w:val="nil"/>
            </w:tcBorders>
            <w:noWrap w:val="0"/>
            <w:vAlign w:val="center"/>
          </w:tcPr>
          <w:p w14:paraId="1D4BD04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09</w:t>
            </w:r>
          </w:p>
        </w:tc>
        <w:tc>
          <w:tcPr>
            <w:tcW w:w="705" w:type="pct"/>
            <w:tcBorders>
              <w:tl2br w:val="nil"/>
              <w:tr2bl w:val="nil"/>
            </w:tcBorders>
            <w:noWrap w:val="0"/>
            <w:vAlign w:val="center"/>
          </w:tcPr>
          <w:p w14:paraId="5176028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特殊用地</w:t>
            </w:r>
          </w:p>
        </w:tc>
        <w:tc>
          <w:tcPr>
            <w:tcW w:w="831" w:type="pct"/>
            <w:tcBorders>
              <w:tl2br w:val="nil"/>
              <w:tr2bl w:val="nil"/>
            </w:tcBorders>
            <w:noWrap w:val="0"/>
            <w:vAlign w:val="center"/>
          </w:tcPr>
          <w:p w14:paraId="613BDE5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51.84</w:t>
            </w:r>
          </w:p>
        </w:tc>
        <w:tc>
          <w:tcPr>
            <w:tcW w:w="647" w:type="pct"/>
            <w:tcBorders>
              <w:tl2br w:val="nil"/>
              <w:tr2bl w:val="nil"/>
            </w:tcBorders>
            <w:noWrap w:val="0"/>
            <w:vAlign w:val="center"/>
          </w:tcPr>
          <w:p w14:paraId="19FB318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09</w:t>
            </w:r>
          </w:p>
        </w:tc>
        <w:tc>
          <w:tcPr>
            <w:tcW w:w="1332" w:type="pct"/>
            <w:tcBorders>
              <w:tl2br w:val="nil"/>
              <w:tr2bl w:val="nil"/>
            </w:tcBorders>
            <w:noWrap w:val="0"/>
            <w:vAlign w:val="center"/>
          </w:tcPr>
          <w:p w14:paraId="3D66948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特殊用地</w:t>
            </w:r>
          </w:p>
        </w:tc>
        <w:tc>
          <w:tcPr>
            <w:tcW w:w="871" w:type="pct"/>
            <w:tcBorders>
              <w:tl2br w:val="nil"/>
              <w:tr2bl w:val="nil"/>
            </w:tcBorders>
            <w:noWrap w:val="0"/>
            <w:vAlign w:val="center"/>
          </w:tcPr>
          <w:p w14:paraId="194B3F6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51.84</w:t>
            </w:r>
          </w:p>
        </w:tc>
      </w:tr>
      <w:tr w14:paraId="50753B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restart"/>
            <w:tcBorders>
              <w:tl2br w:val="nil"/>
              <w:tr2bl w:val="nil"/>
            </w:tcBorders>
            <w:noWrap w:val="0"/>
            <w:vAlign w:val="center"/>
          </w:tcPr>
          <w:p w14:paraId="164D90C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10</w:t>
            </w:r>
          </w:p>
        </w:tc>
        <w:tc>
          <w:tcPr>
            <w:tcW w:w="705" w:type="pct"/>
            <w:vMerge w:val="restart"/>
            <w:tcBorders>
              <w:tl2br w:val="nil"/>
              <w:tr2bl w:val="nil"/>
            </w:tcBorders>
            <w:noWrap w:val="0"/>
            <w:vAlign w:val="center"/>
          </w:tcPr>
          <w:p w14:paraId="1C6AE72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交通运输用地</w:t>
            </w:r>
          </w:p>
        </w:tc>
        <w:tc>
          <w:tcPr>
            <w:tcW w:w="831" w:type="pct"/>
            <w:vMerge w:val="restart"/>
            <w:tcBorders>
              <w:tl2br w:val="nil"/>
              <w:tr2bl w:val="nil"/>
            </w:tcBorders>
            <w:noWrap w:val="0"/>
            <w:vAlign w:val="center"/>
          </w:tcPr>
          <w:p w14:paraId="3268740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5423.38</w:t>
            </w:r>
          </w:p>
        </w:tc>
        <w:tc>
          <w:tcPr>
            <w:tcW w:w="647" w:type="pct"/>
            <w:tcBorders>
              <w:tl2br w:val="nil"/>
              <w:tr2bl w:val="nil"/>
            </w:tcBorders>
            <w:noWrap w:val="0"/>
            <w:vAlign w:val="center"/>
          </w:tcPr>
          <w:p w14:paraId="2EC2940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1001</w:t>
            </w:r>
          </w:p>
        </w:tc>
        <w:tc>
          <w:tcPr>
            <w:tcW w:w="1332" w:type="pct"/>
            <w:tcBorders>
              <w:tl2br w:val="nil"/>
              <w:tr2bl w:val="nil"/>
            </w:tcBorders>
            <w:noWrap w:val="0"/>
            <w:vAlign w:val="center"/>
          </w:tcPr>
          <w:p w14:paraId="40E3FA0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铁路用地</w:t>
            </w:r>
          </w:p>
        </w:tc>
        <w:tc>
          <w:tcPr>
            <w:tcW w:w="871" w:type="pct"/>
            <w:tcBorders>
              <w:tl2br w:val="nil"/>
              <w:tr2bl w:val="nil"/>
            </w:tcBorders>
            <w:noWrap w:val="0"/>
            <w:vAlign w:val="center"/>
          </w:tcPr>
          <w:p w14:paraId="1DDA799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333.61</w:t>
            </w:r>
          </w:p>
        </w:tc>
      </w:tr>
      <w:tr w14:paraId="49ACD5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continue"/>
            <w:tcBorders>
              <w:tl2br w:val="nil"/>
              <w:tr2bl w:val="nil"/>
            </w:tcBorders>
            <w:noWrap w:val="0"/>
            <w:vAlign w:val="center"/>
          </w:tcPr>
          <w:p w14:paraId="2A7AEF5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705" w:type="pct"/>
            <w:vMerge w:val="continue"/>
            <w:tcBorders>
              <w:tl2br w:val="nil"/>
              <w:tr2bl w:val="nil"/>
            </w:tcBorders>
            <w:noWrap w:val="0"/>
            <w:vAlign w:val="center"/>
          </w:tcPr>
          <w:p w14:paraId="72B44C2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831" w:type="pct"/>
            <w:vMerge w:val="continue"/>
            <w:tcBorders>
              <w:tl2br w:val="nil"/>
              <w:tr2bl w:val="nil"/>
            </w:tcBorders>
            <w:noWrap w:val="0"/>
            <w:vAlign w:val="center"/>
          </w:tcPr>
          <w:p w14:paraId="2D2332E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647" w:type="pct"/>
            <w:tcBorders>
              <w:tl2br w:val="nil"/>
              <w:tr2bl w:val="nil"/>
            </w:tcBorders>
            <w:noWrap w:val="0"/>
            <w:vAlign w:val="center"/>
          </w:tcPr>
          <w:p w14:paraId="07D5F2B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1003</w:t>
            </w:r>
          </w:p>
        </w:tc>
        <w:tc>
          <w:tcPr>
            <w:tcW w:w="1332" w:type="pct"/>
            <w:tcBorders>
              <w:tl2br w:val="nil"/>
              <w:tr2bl w:val="nil"/>
            </w:tcBorders>
            <w:noWrap w:val="0"/>
            <w:vAlign w:val="center"/>
          </w:tcPr>
          <w:p w14:paraId="5AB7B12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公路用地</w:t>
            </w:r>
          </w:p>
        </w:tc>
        <w:tc>
          <w:tcPr>
            <w:tcW w:w="871" w:type="pct"/>
            <w:tcBorders>
              <w:tl2br w:val="nil"/>
              <w:tr2bl w:val="nil"/>
            </w:tcBorders>
            <w:noWrap w:val="0"/>
            <w:vAlign w:val="center"/>
          </w:tcPr>
          <w:p w14:paraId="268EF55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1698.56</w:t>
            </w:r>
          </w:p>
        </w:tc>
      </w:tr>
      <w:tr w14:paraId="4698CB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continue"/>
            <w:tcBorders>
              <w:tl2br w:val="nil"/>
              <w:tr2bl w:val="nil"/>
            </w:tcBorders>
            <w:noWrap w:val="0"/>
            <w:vAlign w:val="center"/>
          </w:tcPr>
          <w:p w14:paraId="779195E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705" w:type="pct"/>
            <w:vMerge w:val="continue"/>
            <w:tcBorders>
              <w:tl2br w:val="nil"/>
              <w:tr2bl w:val="nil"/>
            </w:tcBorders>
            <w:noWrap w:val="0"/>
            <w:vAlign w:val="center"/>
          </w:tcPr>
          <w:p w14:paraId="0FF2860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831" w:type="pct"/>
            <w:vMerge w:val="continue"/>
            <w:tcBorders>
              <w:tl2br w:val="nil"/>
              <w:tr2bl w:val="nil"/>
            </w:tcBorders>
            <w:noWrap w:val="0"/>
            <w:vAlign w:val="center"/>
          </w:tcPr>
          <w:p w14:paraId="7413EBC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647" w:type="pct"/>
            <w:tcBorders>
              <w:tl2br w:val="nil"/>
              <w:tr2bl w:val="nil"/>
            </w:tcBorders>
            <w:noWrap w:val="0"/>
            <w:vAlign w:val="center"/>
          </w:tcPr>
          <w:p w14:paraId="5AAB359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1004</w:t>
            </w:r>
          </w:p>
        </w:tc>
        <w:tc>
          <w:tcPr>
            <w:tcW w:w="1332" w:type="pct"/>
            <w:tcBorders>
              <w:tl2br w:val="nil"/>
              <w:tr2bl w:val="nil"/>
            </w:tcBorders>
            <w:noWrap w:val="0"/>
            <w:vAlign w:val="center"/>
          </w:tcPr>
          <w:p w14:paraId="2C557AB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城镇村道路用地</w:t>
            </w:r>
          </w:p>
        </w:tc>
        <w:tc>
          <w:tcPr>
            <w:tcW w:w="871" w:type="pct"/>
            <w:tcBorders>
              <w:tl2br w:val="nil"/>
              <w:tr2bl w:val="nil"/>
            </w:tcBorders>
            <w:noWrap w:val="0"/>
            <w:vAlign w:val="center"/>
          </w:tcPr>
          <w:p w14:paraId="5B7CA3E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454.65</w:t>
            </w:r>
          </w:p>
        </w:tc>
      </w:tr>
      <w:tr w14:paraId="072289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continue"/>
            <w:tcBorders>
              <w:tl2br w:val="nil"/>
              <w:tr2bl w:val="nil"/>
            </w:tcBorders>
            <w:noWrap w:val="0"/>
            <w:vAlign w:val="center"/>
          </w:tcPr>
          <w:p w14:paraId="17421FF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705" w:type="pct"/>
            <w:vMerge w:val="continue"/>
            <w:tcBorders>
              <w:tl2br w:val="nil"/>
              <w:tr2bl w:val="nil"/>
            </w:tcBorders>
            <w:noWrap w:val="0"/>
            <w:vAlign w:val="center"/>
          </w:tcPr>
          <w:p w14:paraId="6293839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831" w:type="pct"/>
            <w:vMerge w:val="continue"/>
            <w:tcBorders>
              <w:tl2br w:val="nil"/>
              <w:tr2bl w:val="nil"/>
            </w:tcBorders>
            <w:noWrap w:val="0"/>
            <w:vAlign w:val="center"/>
          </w:tcPr>
          <w:p w14:paraId="05C56F5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647" w:type="pct"/>
            <w:tcBorders>
              <w:tl2br w:val="nil"/>
              <w:tr2bl w:val="nil"/>
            </w:tcBorders>
            <w:noWrap w:val="0"/>
            <w:vAlign w:val="center"/>
          </w:tcPr>
          <w:p w14:paraId="23BC8C5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1005</w:t>
            </w:r>
          </w:p>
        </w:tc>
        <w:tc>
          <w:tcPr>
            <w:tcW w:w="1332" w:type="pct"/>
            <w:tcBorders>
              <w:tl2br w:val="nil"/>
              <w:tr2bl w:val="nil"/>
            </w:tcBorders>
            <w:noWrap w:val="0"/>
            <w:vAlign w:val="center"/>
          </w:tcPr>
          <w:p w14:paraId="4587060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交通服务场站用地</w:t>
            </w:r>
          </w:p>
        </w:tc>
        <w:tc>
          <w:tcPr>
            <w:tcW w:w="871" w:type="pct"/>
            <w:tcBorders>
              <w:tl2br w:val="nil"/>
              <w:tr2bl w:val="nil"/>
            </w:tcBorders>
            <w:noWrap w:val="0"/>
            <w:vAlign w:val="center"/>
          </w:tcPr>
          <w:p w14:paraId="315CA65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3.45</w:t>
            </w:r>
          </w:p>
        </w:tc>
      </w:tr>
      <w:tr w14:paraId="25C0EB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continue"/>
            <w:tcBorders>
              <w:tl2br w:val="nil"/>
              <w:tr2bl w:val="nil"/>
            </w:tcBorders>
            <w:noWrap w:val="0"/>
            <w:vAlign w:val="center"/>
          </w:tcPr>
          <w:p w14:paraId="5EADC8E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705" w:type="pct"/>
            <w:vMerge w:val="continue"/>
            <w:tcBorders>
              <w:tl2br w:val="nil"/>
              <w:tr2bl w:val="nil"/>
            </w:tcBorders>
            <w:noWrap w:val="0"/>
            <w:vAlign w:val="center"/>
          </w:tcPr>
          <w:p w14:paraId="3AFC626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831" w:type="pct"/>
            <w:vMerge w:val="continue"/>
            <w:tcBorders>
              <w:tl2br w:val="nil"/>
              <w:tr2bl w:val="nil"/>
            </w:tcBorders>
            <w:noWrap w:val="0"/>
            <w:vAlign w:val="center"/>
          </w:tcPr>
          <w:p w14:paraId="3F55099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647" w:type="pct"/>
            <w:tcBorders>
              <w:tl2br w:val="nil"/>
              <w:tr2bl w:val="nil"/>
            </w:tcBorders>
            <w:noWrap w:val="0"/>
            <w:vAlign w:val="center"/>
          </w:tcPr>
          <w:p w14:paraId="2AA818C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1006</w:t>
            </w:r>
          </w:p>
        </w:tc>
        <w:tc>
          <w:tcPr>
            <w:tcW w:w="1332" w:type="pct"/>
            <w:tcBorders>
              <w:tl2br w:val="nil"/>
              <w:tr2bl w:val="nil"/>
            </w:tcBorders>
            <w:noWrap w:val="0"/>
            <w:vAlign w:val="center"/>
          </w:tcPr>
          <w:p w14:paraId="1A036F3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农村道路</w:t>
            </w:r>
          </w:p>
        </w:tc>
        <w:tc>
          <w:tcPr>
            <w:tcW w:w="871" w:type="pct"/>
            <w:tcBorders>
              <w:tl2br w:val="nil"/>
              <w:tr2bl w:val="nil"/>
            </w:tcBorders>
            <w:noWrap w:val="0"/>
            <w:vAlign w:val="center"/>
          </w:tcPr>
          <w:p w14:paraId="70A05F4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2775.69</w:t>
            </w:r>
          </w:p>
        </w:tc>
      </w:tr>
      <w:tr w14:paraId="120EDB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continue"/>
            <w:tcBorders>
              <w:tl2br w:val="nil"/>
              <w:tr2bl w:val="nil"/>
            </w:tcBorders>
            <w:noWrap w:val="0"/>
            <w:vAlign w:val="center"/>
          </w:tcPr>
          <w:p w14:paraId="549BD97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705" w:type="pct"/>
            <w:vMerge w:val="continue"/>
            <w:tcBorders>
              <w:tl2br w:val="nil"/>
              <w:tr2bl w:val="nil"/>
            </w:tcBorders>
            <w:noWrap w:val="0"/>
            <w:vAlign w:val="center"/>
          </w:tcPr>
          <w:p w14:paraId="43687AD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831" w:type="pct"/>
            <w:vMerge w:val="continue"/>
            <w:tcBorders>
              <w:tl2br w:val="nil"/>
              <w:tr2bl w:val="nil"/>
            </w:tcBorders>
            <w:noWrap w:val="0"/>
            <w:vAlign w:val="center"/>
          </w:tcPr>
          <w:p w14:paraId="2B2CE02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647" w:type="pct"/>
            <w:tcBorders>
              <w:tl2br w:val="nil"/>
              <w:tr2bl w:val="nil"/>
            </w:tcBorders>
            <w:noWrap w:val="0"/>
            <w:vAlign w:val="center"/>
          </w:tcPr>
          <w:p w14:paraId="7F02A5F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1007</w:t>
            </w:r>
          </w:p>
        </w:tc>
        <w:tc>
          <w:tcPr>
            <w:tcW w:w="1332" w:type="pct"/>
            <w:tcBorders>
              <w:tl2br w:val="nil"/>
              <w:tr2bl w:val="nil"/>
            </w:tcBorders>
            <w:noWrap w:val="0"/>
            <w:vAlign w:val="center"/>
          </w:tcPr>
          <w:p w14:paraId="0C2C856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机场用地</w:t>
            </w:r>
          </w:p>
        </w:tc>
        <w:tc>
          <w:tcPr>
            <w:tcW w:w="871" w:type="pct"/>
            <w:tcBorders>
              <w:tl2br w:val="nil"/>
              <w:tr2bl w:val="nil"/>
            </w:tcBorders>
            <w:noWrap w:val="0"/>
            <w:vAlign w:val="center"/>
          </w:tcPr>
          <w:p w14:paraId="1A039E0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157.42</w:t>
            </w:r>
          </w:p>
        </w:tc>
      </w:tr>
      <w:tr w14:paraId="643600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restart"/>
            <w:tcBorders>
              <w:tl2br w:val="nil"/>
              <w:tr2bl w:val="nil"/>
            </w:tcBorders>
            <w:noWrap w:val="0"/>
            <w:vAlign w:val="center"/>
          </w:tcPr>
          <w:p w14:paraId="6697159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11</w:t>
            </w:r>
          </w:p>
        </w:tc>
        <w:tc>
          <w:tcPr>
            <w:tcW w:w="705" w:type="pct"/>
            <w:vMerge w:val="restart"/>
            <w:tcBorders>
              <w:tl2br w:val="nil"/>
              <w:tr2bl w:val="nil"/>
            </w:tcBorders>
            <w:noWrap w:val="0"/>
            <w:vAlign w:val="center"/>
          </w:tcPr>
          <w:p w14:paraId="3FE1346A">
            <w:pPr>
              <w:keepNext w:val="0"/>
              <w:keepLines w:val="0"/>
              <w:pageBreakBefore w:val="0"/>
              <w:widowControl/>
              <w:suppressLineNumbers w:val="0"/>
              <w:tabs>
                <w:tab w:val="left" w:pos="449"/>
              </w:tabs>
              <w:kinsoku/>
              <w:wordWrap/>
              <w:overflowPunct/>
              <w:topLinePunct w:val="0"/>
              <w:autoSpaceDE/>
              <w:autoSpaceDN/>
              <w:bidi w:val="0"/>
              <w:adjustRightInd/>
              <w:snapToGrid/>
              <w:jc w:val="left"/>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水域及水利设施用地</w:t>
            </w:r>
          </w:p>
        </w:tc>
        <w:tc>
          <w:tcPr>
            <w:tcW w:w="831" w:type="pct"/>
            <w:vMerge w:val="restart"/>
            <w:tcBorders>
              <w:tl2br w:val="nil"/>
              <w:tr2bl w:val="nil"/>
            </w:tcBorders>
            <w:noWrap w:val="0"/>
            <w:vAlign w:val="center"/>
          </w:tcPr>
          <w:p w14:paraId="49D21DA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9442.9</w:t>
            </w:r>
          </w:p>
        </w:tc>
        <w:tc>
          <w:tcPr>
            <w:tcW w:w="647" w:type="pct"/>
            <w:tcBorders>
              <w:tl2br w:val="nil"/>
              <w:tr2bl w:val="nil"/>
            </w:tcBorders>
            <w:noWrap w:val="0"/>
            <w:vAlign w:val="center"/>
          </w:tcPr>
          <w:p w14:paraId="4D5AF03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1101</w:t>
            </w:r>
          </w:p>
        </w:tc>
        <w:tc>
          <w:tcPr>
            <w:tcW w:w="1332" w:type="pct"/>
            <w:tcBorders>
              <w:tl2br w:val="nil"/>
              <w:tr2bl w:val="nil"/>
            </w:tcBorders>
            <w:noWrap w:val="0"/>
            <w:vAlign w:val="center"/>
          </w:tcPr>
          <w:p w14:paraId="13444F0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河流水面</w:t>
            </w:r>
          </w:p>
        </w:tc>
        <w:tc>
          <w:tcPr>
            <w:tcW w:w="871" w:type="pct"/>
            <w:tcBorders>
              <w:tl2br w:val="nil"/>
              <w:tr2bl w:val="nil"/>
            </w:tcBorders>
            <w:noWrap w:val="0"/>
            <w:vAlign w:val="center"/>
          </w:tcPr>
          <w:p w14:paraId="4D1A4B3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2398.95</w:t>
            </w:r>
          </w:p>
        </w:tc>
      </w:tr>
      <w:tr w14:paraId="608C25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continue"/>
            <w:tcBorders>
              <w:tl2br w:val="nil"/>
              <w:tr2bl w:val="nil"/>
            </w:tcBorders>
            <w:noWrap w:val="0"/>
            <w:vAlign w:val="center"/>
          </w:tcPr>
          <w:p w14:paraId="484BD77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705" w:type="pct"/>
            <w:vMerge w:val="continue"/>
            <w:tcBorders>
              <w:tl2br w:val="nil"/>
              <w:tr2bl w:val="nil"/>
            </w:tcBorders>
            <w:noWrap w:val="0"/>
            <w:vAlign w:val="center"/>
          </w:tcPr>
          <w:p w14:paraId="6C89A05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831" w:type="pct"/>
            <w:vMerge w:val="continue"/>
            <w:tcBorders>
              <w:tl2br w:val="nil"/>
              <w:tr2bl w:val="nil"/>
            </w:tcBorders>
            <w:noWrap w:val="0"/>
            <w:vAlign w:val="center"/>
          </w:tcPr>
          <w:p w14:paraId="2A82171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647" w:type="pct"/>
            <w:tcBorders>
              <w:tl2br w:val="nil"/>
              <w:tr2bl w:val="nil"/>
            </w:tcBorders>
            <w:noWrap w:val="0"/>
            <w:vAlign w:val="center"/>
          </w:tcPr>
          <w:p w14:paraId="472B728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1103</w:t>
            </w:r>
          </w:p>
        </w:tc>
        <w:tc>
          <w:tcPr>
            <w:tcW w:w="1332" w:type="pct"/>
            <w:tcBorders>
              <w:tl2br w:val="nil"/>
              <w:tr2bl w:val="nil"/>
            </w:tcBorders>
            <w:noWrap w:val="0"/>
            <w:vAlign w:val="center"/>
          </w:tcPr>
          <w:p w14:paraId="0A4C59C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水库水面</w:t>
            </w:r>
          </w:p>
        </w:tc>
        <w:tc>
          <w:tcPr>
            <w:tcW w:w="871" w:type="pct"/>
            <w:tcBorders>
              <w:tl2br w:val="nil"/>
              <w:tr2bl w:val="nil"/>
            </w:tcBorders>
            <w:noWrap w:val="0"/>
            <w:vAlign w:val="center"/>
          </w:tcPr>
          <w:p w14:paraId="41DEB84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2234.67</w:t>
            </w:r>
          </w:p>
        </w:tc>
      </w:tr>
      <w:tr w14:paraId="555063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continue"/>
            <w:tcBorders>
              <w:tl2br w:val="nil"/>
              <w:tr2bl w:val="nil"/>
            </w:tcBorders>
            <w:noWrap w:val="0"/>
            <w:vAlign w:val="center"/>
          </w:tcPr>
          <w:p w14:paraId="0BEAC03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705" w:type="pct"/>
            <w:vMerge w:val="continue"/>
            <w:tcBorders>
              <w:tl2br w:val="nil"/>
              <w:tr2bl w:val="nil"/>
            </w:tcBorders>
            <w:noWrap w:val="0"/>
            <w:vAlign w:val="center"/>
          </w:tcPr>
          <w:p w14:paraId="40FE681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831" w:type="pct"/>
            <w:vMerge w:val="continue"/>
            <w:tcBorders>
              <w:tl2br w:val="nil"/>
              <w:tr2bl w:val="nil"/>
            </w:tcBorders>
            <w:noWrap w:val="0"/>
            <w:vAlign w:val="center"/>
          </w:tcPr>
          <w:p w14:paraId="3810DD6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647" w:type="pct"/>
            <w:tcBorders>
              <w:tl2br w:val="nil"/>
              <w:tr2bl w:val="nil"/>
            </w:tcBorders>
            <w:noWrap w:val="0"/>
            <w:vAlign w:val="center"/>
          </w:tcPr>
          <w:p w14:paraId="0B1785E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1104</w:t>
            </w:r>
          </w:p>
        </w:tc>
        <w:tc>
          <w:tcPr>
            <w:tcW w:w="1332" w:type="pct"/>
            <w:tcBorders>
              <w:tl2br w:val="nil"/>
              <w:tr2bl w:val="nil"/>
            </w:tcBorders>
            <w:noWrap w:val="0"/>
            <w:vAlign w:val="center"/>
          </w:tcPr>
          <w:p w14:paraId="20171F5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坑塘水面</w:t>
            </w:r>
          </w:p>
        </w:tc>
        <w:tc>
          <w:tcPr>
            <w:tcW w:w="871" w:type="pct"/>
            <w:tcBorders>
              <w:tl2br w:val="nil"/>
              <w:tr2bl w:val="nil"/>
            </w:tcBorders>
            <w:noWrap w:val="0"/>
            <w:vAlign w:val="center"/>
          </w:tcPr>
          <w:p w14:paraId="616BC50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1126.3</w:t>
            </w:r>
          </w:p>
        </w:tc>
      </w:tr>
      <w:tr w14:paraId="2C8E4D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continue"/>
            <w:tcBorders>
              <w:tl2br w:val="nil"/>
              <w:tr2bl w:val="nil"/>
            </w:tcBorders>
            <w:noWrap w:val="0"/>
            <w:vAlign w:val="center"/>
          </w:tcPr>
          <w:p w14:paraId="4B1C41F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705" w:type="pct"/>
            <w:vMerge w:val="continue"/>
            <w:tcBorders>
              <w:tl2br w:val="nil"/>
              <w:tr2bl w:val="nil"/>
            </w:tcBorders>
            <w:noWrap w:val="0"/>
            <w:vAlign w:val="center"/>
          </w:tcPr>
          <w:p w14:paraId="510C05F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831" w:type="pct"/>
            <w:vMerge w:val="continue"/>
            <w:tcBorders>
              <w:tl2br w:val="nil"/>
              <w:tr2bl w:val="nil"/>
            </w:tcBorders>
            <w:noWrap w:val="0"/>
            <w:vAlign w:val="center"/>
          </w:tcPr>
          <w:p w14:paraId="5996FCB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647" w:type="pct"/>
            <w:tcBorders>
              <w:tl2br w:val="nil"/>
              <w:tr2bl w:val="nil"/>
            </w:tcBorders>
            <w:noWrap w:val="0"/>
            <w:vAlign w:val="center"/>
          </w:tcPr>
          <w:p w14:paraId="5596B47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1104A</w:t>
            </w:r>
          </w:p>
        </w:tc>
        <w:tc>
          <w:tcPr>
            <w:tcW w:w="1332" w:type="pct"/>
            <w:tcBorders>
              <w:tl2br w:val="nil"/>
              <w:tr2bl w:val="nil"/>
            </w:tcBorders>
            <w:noWrap w:val="0"/>
            <w:vAlign w:val="center"/>
          </w:tcPr>
          <w:p w14:paraId="34615D2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养殖坑塘</w:t>
            </w:r>
          </w:p>
        </w:tc>
        <w:tc>
          <w:tcPr>
            <w:tcW w:w="871" w:type="pct"/>
            <w:tcBorders>
              <w:tl2br w:val="nil"/>
              <w:tr2bl w:val="nil"/>
            </w:tcBorders>
            <w:noWrap w:val="0"/>
            <w:vAlign w:val="center"/>
          </w:tcPr>
          <w:p w14:paraId="3279FE2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314.51</w:t>
            </w:r>
          </w:p>
        </w:tc>
      </w:tr>
      <w:tr w14:paraId="0EC8E6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continue"/>
            <w:tcBorders>
              <w:tl2br w:val="nil"/>
              <w:tr2bl w:val="nil"/>
            </w:tcBorders>
            <w:noWrap w:val="0"/>
            <w:vAlign w:val="center"/>
          </w:tcPr>
          <w:p w14:paraId="36047CF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705" w:type="pct"/>
            <w:vMerge w:val="continue"/>
            <w:tcBorders>
              <w:tl2br w:val="nil"/>
              <w:tr2bl w:val="nil"/>
            </w:tcBorders>
            <w:noWrap w:val="0"/>
            <w:vAlign w:val="center"/>
          </w:tcPr>
          <w:p w14:paraId="5D38B2D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831" w:type="pct"/>
            <w:vMerge w:val="continue"/>
            <w:tcBorders>
              <w:tl2br w:val="nil"/>
              <w:tr2bl w:val="nil"/>
            </w:tcBorders>
            <w:noWrap w:val="0"/>
            <w:vAlign w:val="center"/>
          </w:tcPr>
          <w:p w14:paraId="3E942E8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647" w:type="pct"/>
            <w:tcBorders>
              <w:tl2br w:val="nil"/>
              <w:tr2bl w:val="nil"/>
            </w:tcBorders>
            <w:noWrap w:val="0"/>
            <w:vAlign w:val="center"/>
          </w:tcPr>
          <w:p w14:paraId="255A263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1106</w:t>
            </w:r>
          </w:p>
        </w:tc>
        <w:tc>
          <w:tcPr>
            <w:tcW w:w="1332" w:type="pct"/>
            <w:tcBorders>
              <w:tl2br w:val="nil"/>
              <w:tr2bl w:val="nil"/>
            </w:tcBorders>
            <w:noWrap w:val="0"/>
            <w:vAlign w:val="center"/>
          </w:tcPr>
          <w:p w14:paraId="024D855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内陆滩涂</w:t>
            </w:r>
          </w:p>
        </w:tc>
        <w:tc>
          <w:tcPr>
            <w:tcW w:w="871" w:type="pct"/>
            <w:tcBorders>
              <w:tl2br w:val="nil"/>
              <w:tr2bl w:val="nil"/>
            </w:tcBorders>
            <w:noWrap w:val="0"/>
            <w:vAlign w:val="center"/>
          </w:tcPr>
          <w:p w14:paraId="2949C83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379.39</w:t>
            </w:r>
          </w:p>
        </w:tc>
      </w:tr>
      <w:tr w14:paraId="756DE6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continue"/>
            <w:tcBorders>
              <w:tl2br w:val="nil"/>
              <w:tr2bl w:val="nil"/>
            </w:tcBorders>
            <w:noWrap w:val="0"/>
            <w:vAlign w:val="center"/>
          </w:tcPr>
          <w:p w14:paraId="02DC64C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705" w:type="pct"/>
            <w:vMerge w:val="continue"/>
            <w:tcBorders>
              <w:tl2br w:val="nil"/>
              <w:tr2bl w:val="nil"/>
            </w:tcBorders>
            <w:noWrap w:val="0"/>
            <w:vAlign w:val="center"/>
          </w:tcPr>
          <w:p w14:paraId="517FBE6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831" w:type="pct"/>
            <w:vMerge w:val="continue"/>
            <w:tcBorders>
              <w:tl2br w:val="nil"/>
              <w:tr2bl w:val="nil"/>
            </w:tcBorders>
            <w:noWrap w:val="0"/>
            <w:vAlign w:val="center"/>
          </w:tcPr>
          <w:p w14:paraId="63D3454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647" w:type="pct"/>
            <w:tcBorders>
              <w:tl2br w:val="nil"/>
              <w:tr2bl w:val="nil"/>
            </w:tcBorders>
            <w:noWrap w:val="0"/>
            <w:vAlign w:val="center"/>
          </w:tcPr>
          <w:p w14:paraId="2016340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1107</w:t>
            </w:r>
          </w:p>
        </w:tc>
        <w:tc>
          <w:tcPr>
            <w:tcW w:w="1332" w:type="pct"/>
            <w:tcBorders>
              <w:tl2br w:val="nil"/>
              <w:tr2bl w:val="nil"/>
            </w:tcBorders>
            <w:noWrap w:val="0"/>
            <w:vAlign w:val="center"/>
          </w:tcPr>
          <w:p w14:paraId="049537B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沟渠</w:t>
            </w:r>
          </w:p>
        </w:tc>
        <w:tc>
          <w:tcPr>
            <w:tcW w:w="871" w:type="pct"/>
            <w:tcBorders>
              <w:tl2br w:val="nil"/>
              <w:tr2bl w:val="nil"/>
            </w:tcBorders>
            <w:noWrap w:val="0"/>
            <w:vAlign w:val="center"/>
          </w:tcPr>
          <w:p w14:paraId="6714C0A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2414.99</w:t>
            </w:r>
          </w:p>
        </w:tc>
      </w:tr>
      <w:tr w14:paraId="26D1A6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continue"/>
            <w:tcBorders>
              <w:tl2br w:val="nil"/>
              <w:tr2bl w:val="nil"/>
            </w:tcBorders>
            <w:noWrap w:val="0"/>
            <w:vAlign w:val="center"/>
          </w:tcPr>
          <w:p w14:paraId="2DEF93B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705" w:type="pct"/>
            <w:vMerge w:val="continue"/>
            <w:tcBorders>
              <w:tl2br w:val="nil"/>
              <w:tr2bl w:val="nil"/>
            </w:tcBorders>
            <w:noWrap w:val="0"/>
            <w:vAlign w:val="center"/>
          </w:tcPr>
          <w:p w14:paraId="7316CB9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831" w:type="pct"/>
            <w:vMerge w:val="continue"/>
            <w:tcBorders>
              <w:tl2br w:val="nil"/>
              <w:tr2bl w:val="nil"/>
            </w:tcBorders>
            <w:noWrap w:val="0"/>
            <w:vAlign w:val="center"/>
          </w:tcPr>
          <w:p w14:paraId="5EB8C63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647" w:type="pct"/>
            <w:tcBorders>
              <w:tl2br w:val="nil"/>
              <w:tr2bl w:val="nil"/>
            </w:tcBorders>
            <w:noWrap w:val="0"/>
            <w:vAlign w:val="center"/>
          </w:tcPr>
          <w:p w14:paraId="7DD0B4F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1107A</w:t>
            </w:r>
          </w:p>
        </w:tc>
        <w:tc>
          <w:tcPr>
            <w:tcW w:w="1332" w:type="pct"/>
            <w:tcBorders>
              <w:tl2br w:val="nil"/>
              <w:tr2bl w:val="nil"/>
            </w:tcBorders>
            <w:noWrap w:val="0"/>
            <w:vAlign w:val="center"/>
          </w:tcPr>
          <w:p w14:paraId="0C28005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干渠</w:t>
            </w:r>
          </w:p>
        </w:tc>
        <w:tc>
          <w:tcPr>
            <w:tcW w:w="871" w:type="pct"/>
            <w:tcBorders>
              <w:tl2br w:val="nil"/>
              <w:tr2bl w:val="nil"/>
            </w:tcBorders>
            <w:noWrap w:val="0"/>
            <w:vAlign w:val="center"/>
          </w:tcPr>
          <w:p w14:paraId="3031BDB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179.13</w:t>
            </w:r>
          </w:p>
        </w:tc>
      </w:tr>
      <w:tr w14:paraId="7173DC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continue"/>
            <w:tcBorders>
              <w:tl2br w:val="nil"/>
              <w:tr2bl w:val="nil"/>
            </w:tcBorders>
            <w:noWrap w:val="0"/>
            <w:vAlign w:val="center"/>
          </w:tcPr>
          <w:p w14:paraId="1F15A37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705" w:type="pct"/>
            <w:vMerge w:val="continue"/>
            <w:tcBorders>
              <w:tl2br w:val="nil"/>
              <w:tr2bl w:val="nil"/>
            </w:tcBorders>
            <w:noWrap w:val="0"/>
            <w:vAlign w:val="center"/>
          </w:tcPr>
          <w:p w14:paraId="2A9FF3E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831" w:type="pct"/>
            <w:vMerge w:val="continue"/>
            <w:tcBorders>
              <w:tl2br w:val="nil"/>
              <w:tr2bl w:val="nil"/>
            </w:tcBorders>
            <w:noWrap w:val="0"/>
            <w:vAlign w:val="center"/>
          </w:tcPr>
          <w:p w14:paraId="63D620B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647" w:type="pct"/>
            <w:tcBorders>
              <w:tl2br w:val="nil"/>
              <w:tr2bl w:val="nil"/>
            </w:tcBorders>
            <w:noWrap w:val="0"/>
            <w:vAlign w:val="center"/>
          </w:tcPr>
          <w:p w14:paraId="10013C5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1108</w:t>
            </w:r>
          </w:p>
        </w:tc>
        <w:tc>
          <w:tcPr>
            <w:tcW w:w="1332" w:type="pct"/>
            <w:tcBorders>
              <w:tl2br w:val="nil"/>
              <w:tr2bl w:val="nil"/>
            </w:tcBorders>
            <w:noWrap w:val="0"/>
            <w:vAlign w:val="center"/>
          </w:tcPr>
          <w:p w14:paraId="317EE9D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沼泽地</w:t>
            </w:r>
          </w:p>
        </w:tc>
        <w:tc>
          <w:tcPr>
            <w:tcW w:w="871" w:type="pct"/>
            <w:tcBorders>
              <w:tl2br w:val="nil"/>
              <w:tr2bl w:val="nil"/>
            </w:tcBorders>
            <w:noWrap w:val="0"/>
            <w:vAlign w:val="center"/>
          </w:tcPr>
          <w:p w14:paraId="40A6519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29.26</w:t>
            </w:r>
          </w:p>
        </w:tc>
      </w:tr>
      <w:tr w14:paraId="22C6C8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continue"/>
            <w:tcBorders>
              <w:tl2br w:val="nil"/>
              <w:tr2bl w:val="nil"/>
            </w:tcBorders>
            <w:noWrap w:val="0"/>
            <w:vAlign w:val="center"/>
          </w:tcPr>
          <w:p w14:paraId="2AFC2E5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705" w:type="pct"/>
            <w:vMerge w:val="continue"/>
            <w:tcBorders>
              <w:tl2br w:val="nil"/>
              <w:tr2bl w:val="nil"/>
            </w:tcBorders>
            <w:noWrap w:val="0"/>
            <w:vAlign w:val="center"/>
          </w:tcPr>
          <w:p w14:paraId="245F8FB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831" w:type="pct"/>
            <w:vMerge w:val="continue"/>
            <w:tcBorders>
              <w:tl2br w:val="nil"/>
              <w:tr2bl w:val="nil"/>
            </w:tcBorders>
            <w:noWrap w:val="0"/>
            <w:vAlign w:val="center"/>
          </w:tcPr>
          <w:p w14:paraId="1E525AF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647" w:type="pct"/>
            <w:tcBorders>
              <w:tl2br w:val="nil"/>
              <w:tr2bl w:val="nil"/>
            </w:tcBorders>
            <w:noWrap w:val="0"/>
            <w:vAlign w:val="center"/>
          </w:tcPr>
          <w:p w14:paraId="05371BD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1109</w:t>
            </w:r>
          </w:p>
        </w:tc>
        <w:tc>
          <w:tcPr>
            <w:tcW w:w="1332" w:type="pct"/>
            <w:tcBorders>
              <w:tl2br w:val="nil"/>
              <w:tr2bl w:val="nil"/>
            </w:tcBorders>
            <w:noWrap w:val="0"/>
            <w:vAlign w:val="center"/>
          </w:tcPr>
          <w:p w14:paraId="283B78F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水工建筑用地</w:t>
            </w:r>
          </w:p>
        </w:tc>
        <w:tc>
          <w:tcPr>
            <w:tcW w:w="871" w:type="pct"/>
            <w:tcBorders>
              <w:tl2br w:val="nil"/>
              <w:tr2bl w:val="nil"/>
            </w:tcBorders>
            <w:noWrap w:val="0"/>
            <w:vAlign w:val="center"/>
          </w:tcPr>
          <w:p w14:paraId="6D89BEF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365.7</w:t>
            </w:r>
          </w:p>
        </w:tc>
      </w:tr>
      <w:tr w14:paraId="687D1C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restart"/>
            <w:tcBorders>
              <w:tl2br w:val="nil"/>
              <w:tr2bl w:val="nil"/>
            </w:tcBorders>
            <w:noWrap w:val="0"/>
            <w:vAlign w:val="center"/>
          </w:tcPr>
          <w:p w14:paraId="0801523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12</w:t>
            </w:r>
          </w:p>
        </w:tc>
        <w:tc>
          <w:tcPr>
            <w:tcW w:w="705" w:type="pct"/>
            <w:vMerge w:val="restart"/>
            <w:tcBorders>
              <w:tl2br w:val="nil"/>
              <w:tr2bl w:val="nil"/>
            </w:tcBorders>
            <w:noWrap w:val="0"/>
            <w:vAlign w:val="center"/>
          </w:tcPr>
          <w:p w14:paraId="6CD06C3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其他土地</w:t>
            </w:r>
          </w:p>
        </w:tc>
        <w:tc>
          <w:tcPr>
            <w:tcW w:w="831" w:type="pct"/>
            <w:vMerge w:val="restart"/>
            <w:tcBorders>
              <w:tl2br w:val="nil"/>
              <w:tr2bl w:val="nil"/>
            </w:tcBorders>
            <w:noWrap w:val="0"/>
            <w:vAlign w:val="center"/>
          </w:tcPr>
          <w:p w14:paraId="6DAC9C4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604.78</w:t>
            </w:r>
          </w:p>
        </w:tc>
        <w:tc>
          <w:tcPr>
            <w:tcW w:w="647" w:type="pct"/>
            <w:tcBorders>
              <w:tl2br w:val="nil"/>
              <w:tr2bl w:val="nil"/>
            </w:tcBorders>
            <w:noWrap w:val="0"/>
            <w:vAlign w:val="center"/>
          </w:tcPr>
          <w:p w14:paraId="6ACC9C3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1201</w:t>
            </w:r>
          </w:p>
        </w:tc>
        <w:tc>
          <w:tcPr>
            <w:tcW w:w="1332" w:type="pct"/>
            <w:tcBorders>
              <w:tl2br w:val="nil"/>
              <w:tr2bl w:val="nil"/>
            </w:tcBorders>
            <w:noWrap w:val="0"/>
            <w:vAlign w:val="center"/>
          </w:tcPr>
          <w:p w14:paraId="1F1E2DE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空闲地</w:t>
            </w:r>
          </w:p>
        </w:tc>
        <w:tc>
          <w:tcPr>
            <w:tcW w:w="871" w:type="pct"/>
            <w:tcBorders>
              <w:tl2br w:val="nil"/>
              <w:tr2bl w:val="nil"/>
            </w:tcBorders>
            <w:noWrap w:val="0"/>
            <w:vAlign w:val="center"/>
          </w:tcPr>
          <w:p w14:paraId="1265B1C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1.26</w:t>
            </w:r>
          </w:p>
        </w:tc>
      </w:tr>
      <w:tr w14:paraId="6DC1C4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continue"/>
            <w:tcBorders>
              <w:tl2br w:val="nil"/>
              <w:tr2bl w:val="nil"/>
            </w:tcBorders>
            <w:noWrap w:val="0"/>
            <w:vAlign w:val="center"/>
          </w:tcPr>
          <w:p w14:paraId="33E29A6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705" w:type="pct"/>
            <w:vMerge w:val="continue"/>
            <w:tcBorders>
              <w:tl2br w:val="nil"/>
              <w:tr2bl w:val="nil"/>
            </w:tcBorders>
            <w:noWrap w:val="0"/>
            <w:vAlign w:val="center"/>
          </w:tcPr>
          <w:p w14:paraId="1EF5067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831" w:type="pct"/>
            <w:vMerge w:val="continue"/>
            <w:tcBorders>
              <w:tl2br w:val="nil"/>
              <w:tr2bl w:val="nil"/>
            </w:tcBorders>
            <w:noWrap w:val="0"/>
            <w:vAlign w:val="center"/>
          </w:tcPr>
          <w:p w14:paraId="388017B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647" w:type="pct"/>
            <w:tcBorders>
              <w:tl2br w:val="nil"/>
              <w:tr2bl w:val="nil"/>
            </w:tcBorders>
            <w:noWrap w:val="0"/>
            <w:vAlign w:val="center"/>
          </w:tcPr>
          <w:p w14:paraId="39EBC2C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1202</w:t>
            </w:r>
          </w:p>
        </w:tc>
        <w:tc>
          <w:tcPr>
            <w:tcW w:w="1332" w:type="pct"/>
            <w:tcBorders>
              <w:tl2br w:val="nil"/>
              <w:tr2bl w:val="nil"/>
            </w:tcBorders>
            <w:noWrap w:val="0"/>
            <w:vAlign w:val="center"/>
          </w:tcPr>
          <w:p w14:paraId="4B43AB7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设施农用地</w:t>
            </w:r>
          </w:p>
        </w:tc>
        <w:tc>
          <w:tcPr>
            <w:tcW w:w="871" w:type="pct"/>
            <w:tcBorders>
              <w:tl2br w:val="nil"/>
              <w:tr2bl w:val="nil"/>
            </w:tcBorders>
            <w:noWrap w:val="0"/>
            <w:vAlign w:val="center"/>
          </w:tcPr>
          <w:p w14:paraId="2EBB473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286.66</w:t>
            </w:r>
          </w:p>
        </w:tc>
      </w:tr>
      <w:tr w14:paraId="18E598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continue"/>
            <w:tcBorders>
              <w:tl2br w:val="nil"/>
              <w:tr2bl w:val="nil"/>
            </w:tcBorders>
            <w:noWrap w:val="0"/>
            <w:vAlign w:val="center"/>
          </w:tcPr>
          <w:p w14:paraId="27C9C1A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705" w:type="pct"/>
            <w:vMerge w:val="continue"/>
            <w:tcBorders>
              <w:tl2br w:val="nil"/>
              <w:tr2bl w:val="nil"/>
            </w:tcBorders>
            <w:noWrap w:val="0"/>
            <w:vAlign w:val="center"/>
          </w:tcPr>
          <w:p w14:paraId="6325A40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831" w:type="pct"/>
            <w:vMerge w:val="continue"/>
            <w:tcBorders>
              <w:tl2br w:val="nil"/>
              <w:tr2bl w:val="nil"/>
            </w:tcBorders>
            <w:noWrap w:val="0"/>
            <w:vAlign w:val="center"/>
          </w:tcPr>
          <w:p w14:paraId="257EC90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647" w:type="pct"/>
            <w:tcBorders>
              <w:tl2br w:val="nil"/>
              <w:tr2bl w:val="nil"/>
            </w:tcBorders>
            <w:noWrap w:val="0"/>
            <w:vAlign w:val="center"/>
          </w:tcPr>
          <w:p w14:paraId="4064F2C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1206</w:t>
            </w:r>
          </w:p>
        </w:tc>
        <w:tc>
          <w:tcPr>
            <w:tcW w:w="1332" w:type="pct"/>
            <w:tcBorders>
              <w:tl2br w:val="nil"/>
              <w:tr2bl w:val="nil"/>
            </w:tcBorders>
            <w:noWrap w:val="0"/>
            <w:vAlign w:val="center"/>
          </w:tcPr>
          <w:p w14:paraId="5F80240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裸土地</w:t>
            </w:r>
          </w:p>
        </w:tc>
        <w:tc>
          <w:tcPr>
            <w:tcW w:w="871" w:type="pct"/>
            <w:tcBorders>
              <w:tl2br w:val="nil"/>
              <w:tr2bl w:val="nil"/>
            </w:tcBorders>
            <w:noWrap w:val="0"/>
            <w:vAlign w:val="center"/>
          </w:tcPr>
          <w:p w14:paraId="70EBD69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310.47</w:t>
            </w:r>
          </w:p>
        </w:tc>
      </w:tr>
      <w:tr w14:paraId="3C8DBC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2" w:type="pct"/>
            <w:vMerge w:val="continue"/>
            <w:tcBorders>
              <w:tl2br w:val="nil"/>
              <w:tr2bl w:val="nil"/>
            </w:tcBorders>
            <w:noWrap w:val="0"/>
            <w:vAlign w:val="center"/>
          </w:tcPr>
          <w:p w14:paraId="38C80CD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705" w:type="pct"/>
            <w:vMerge w:val="continue"/>
            <w:tcBorders>
              <w:tl2br w:val="nil"/>
              <w:tr2bl w:val="nil"/>
            </w:tcBorders>
            <w:noWrap w:val="0"/>
            <w:vAlign w:val="center"/>
          </w:tcPr>
          <w:p w14:paraId="7211107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831" w:type="pct"/>
            <w:vMerge w:val="continue"/>
            <w:tcBorders>
              <w:tl2br w:val="nil"/>
              <w:tr2bl w:val="nil"/>
            </w:tcBorders>
            <w:noWrap w:val="0"/>
            <w:vAlign w:val="center"/>
          </w:tcPr>
          <w:p w14:paraId="68CEBDA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p>
        </w:tc>
        <w:tc>
          <w:tcPr>
            <w:tcW w:w="647" w:type="pct"/>
            <w:tcBorders>
              <w:tl2br w:val="nil"/>
              <w:tr2bl w:val="nil"/>
            </w:tcBorders>
            <w:noWrap w:val="0"/>
            <w:vAlign w:val="center"/>
          </w:tcPr>
          <w:p w14:paraId="1F3676A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1207</w:t>
            </w:r>
          </w:p>
        </w:tc>
        <w:tc>
          <w:tcPr>
            <w:tcW w:w="1332" w:type="pct"/>
            <w:tcBorders>
              <w:tl2br w:val="nil"/>
              <w:tr2bl w:val="nil"/>
            </w:tcBorders>
            <w:noWrap w:val="0"/>
            <w:vAlign w:val="center"/>
          </w:tcPr>
          <w:p w14:paraId="701EFA8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裸岩石砾地</w:t>
            </w:r>
          </w:p>
        </w:tc>
        <w:tc>
          <w:tcPr>
            <w:tcW w:w="871" w:type="pct"/>
            <w:tcBorders>
              <w:tl2br w:val="nil"/>
              <w:tr2bl w:val="nil"/>
            </w:tcBorders>
            <w:noWrap w:val="0"/>
            <w:vAlign w:val="center"/>
          </w:tcPr>
          <w:p w14:paraId="1869972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6.39</w:t>
            </w:r>
          </w:p>
        </w:tc>
      </w:tr>
      <w:tr w14:paraId="3D9763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28" w:type="pct"/>
            <w:gridSpan w:val="5"/>
            <w:tcBorders>
              <w:tl2br w:val="nil"/>
              <w:tr2bl w:val="nil"/>
            </w:tcBorders>
            <w:noWrap w:val="0"/>
            <w:vAlign w:val="center"/>
          </w:tcPr>
          <w:p w14:paraId="24C9FAD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总计</w:t>
            </w:r>
          </w:p>
        </w:tc>
        <w:tc>
          <w:tcPr>
            <w:tcW w:w="871" w:type="pct"/>
            <w:tcBorders>
              <w:tl2br w:val="nil"/>
              <w:tr2bl w:val="nil"/>
            </w:tcBorders>
            <w:noWrap w:val="0"/>
            <w:vAlign w:val="center"/>
          </w:tcPr>
          <w:p w14:paraId="2C62B18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000000"/>
                <w:kern w:val="0"/>
                <w:sz w:val="20"/>
                <w:szCs w:val="20"/>
                <w:lang w:val="en-US" w:eastAsia="zh-CN" w:bidi="ar"/>
              </w:rPr>
            </w:pPr>
            <w:r>
              <w:rPr>
                <w:rFonts w:hint="eastAsia" w:ascii="Times New Roman" w:hAnsi="Times New Roman" w:eastAsia="仿宋" w:cs="Times New Roman"/>
                <w:color w:val="000000"/>
                <w:kern w:val="0"/>
                <w:sz w:val="20"/>
                <w:szCs w:val="20"/>
                <w:lang w:val="en-US" w:eastAsia="zh-CN" w:bidi="ar"/>
              </w:rPr>
              <w:t>323288.73</w:t>
            </w:r>
          </w:p>
        </w:tc>
      </w:tr>
    </w:tbl>
    <w:p w14:paraId="10E3BEAB">
      <w:pPr>
        <w:pStyle w:val="37"/>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52" w:name="_Toc354"/>
      <w:bookmarkStart w:id="53" w:name="_Toc21743"/>
      <w:r>
        <w:rPr>
          <w:rFonts w:hint="default" w:ascii="Times New Roman" w:hAnsi="Times New Roman" w:eastAsia="方正仿宋_GB18030" w:cs="Times New Roman"/>
          <w:sz w:val="32"/>
          <w:szCs w:val="32"/>
          <w:lang w:val="en-US" w:eastAsia="zh-CN"/>
        </w:rPr>
        <w:t>2.2.8城乡发展情况</w:t>
      </w:r>
      <w:bookmarkEnd w:id="52"/>
      <w:bookmarkEnd w:id="53"/>
    </w:p>
    <w:p w14:paraId="0CD1AEE6">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val="en-US" w:eastAsia="zh-CN"/>
        </w:rPr>
        <w:t>2.2.8.1</w:t>
      </w:r>
      <w:r>
        <w:rPr>
          <w:rFonts w:hint="default" w:ascii="Times New Roman" w:hAnsi="Times New Roman" w:eastAsia="仿宋" w:cs="Times New Roman"/>
          <w:color w:val="333333"/>
          <w:spacing w:val="8"/>
          <w:sz w:val="32"/>
          <w:szCs w:val="32"/>
          <w:lang w:eastAsia="zh-CN"/>
        </w:rPr>
        <w:t>教育</w:t>
      </w:r>
    </w:p>
    <w:p w14:paraId="7B1486C4">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eastAsia" w:ascii="Times New Roman" w:hAnsi="Times New Roman" w:eastAsia="仿宋" w:cs="Times New Roman"/>
          <w:color w:val="333333"/>
          <w:spacing w:val="8"/>
          <w:sz w:val="32"/>
          <w:szCs w:val="32"/>
          <w:lang w:eastAsia="zh-CN"/>
        </w:rPr>
        <w:t>2023年，鸡东县有中小学校27所，其中小学8所，初中7所，九年一贯制学校8所，教学点1所，职普联办学校1所，高中1所，十二年一贯制1所。教师2009人，其中小学教师860人，初中教师776人，高中教师305人，中等职业教师68人。全县中小学学生共计13693人（义务教育阶段共计9852人），其中小学4719人、初中5133人、普通高中3305人、职业高中536人。</w:t>
      </w:r>
    </w:p>
    <w:p w14:paraId="2CFDCFF9">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val="en-US" w:eastAsia="zh-CN"/>
        </w:rPr>
        <w:t>2.2.8.2</w:t>
      </w:r>
      <w:r>
        <w:rPr>
          <w:rFonts w:hint="default" w:ascii="Times New Roman" w:hAnsi="Times New Roman" w:eastAsia="仿宋" w:cs="Times New Roman"/>
          <w:color w:val="333333"/>
          <w:spacing w:val="8"/>
          <w:sz w:val="32"/>
          <w:szCs w:val="32"/>
          <w:lang w:eastAsia="zh-CN"/>
        </w:rPr>
        <w:t>科技</w:t>
      </w:r>
    </w:p>
    <w:p w14:paraId="4F2F1CE3">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eastAsia" w:ascii="Times New Roman" w:hAnsi="Times New Roman" w:eastAsia="仿宋" w:cs="Times New Roman"/>
          <w:color w:val="333333"/>
          <w:spacing w:val="8"/>
          <w:sz w:val="32"/>
          <w:szCs w:val="32"/>
          <w:lang w:eastAsia="zh-CN"/>
        </w:rPr>
        <w:t>2023年，鸡东县上报3项科技成果市级科技进步奖。全县高新技术企业8户，完成工业总产值14671万元。全县科技企业11户，完成工业总产值38431万元。</w:t>
      </w:r>
    </w:p>
    <w:p w14:paraId="0033F56B">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val="en-US" w:eastAsia="zh-CN"/>
        </w:rPr>
        <w:t>2.2.8.3</w:t>
      </w:r>
      <w:r>
        <w:rPr>
          <w:rFonts w:hint="default" w:ascii="Times New Roman" w:hAnsi="Times New Roman" w:eastAsia="仿宋" w:cs="Times New Roman"/>
          <w:color w:val="333333"/>
          <w:spacing w:val="8"/>
          <w:sz w:val="32"/>
          <w:szCs w:val="32"/>
          <w:lang w:eastAsia="zh-CN"/>
        </w:rPr>
        <w:t>文化</w:t>
      </w:r>
    </w:p>
    <w:p w14:paraId="0B84AFDB">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eastAsia" w:ascii="Times New Roman" w:hAnsi="Times New Roman" w:eastAsia="仿宋" w:cs="Times New Roman"/>
          <w:color w:val="333333"/>
          <w:spacing w:val="8"/>
          <w:sz w:val="32"/>
          <w:szCs w:val="32"/>
          <w:lang w:eastAsia="zh-CN"/>
        </w:rPr>
        <w:t>截至2023年末，鸡东县有文化馆1个、公共图书馆1个，有线电视实现了村村通，广播综合人口覆盖率100%。</w:t>
      </w:r>
    </w:p>
    <w:p w14:paraId="29F2889C">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val="en-US" w:eastAsia="zh-CN"/>
        </w:rPr>
        <w:t>2.2.8.4</w:t>
      </w:r>
      <w:r>
        <w:rPr>
          <w:rFonts w:hint="default" w:ascii="Times New Roman" w:hAnsi="Times New Roman" w:eastAsia="仿宋" w:cs="Times New Roman"/>
          <w:color w:val="333333"/>
          <w:spacing w:val="8"/>
          <w:sz w:val="32"/>
          <w:szCs w:val="32"/>
          <w:lang w:eastAsia="zh-CN"/>
        </w:rPr>
        <w:t>卫生</w:t>
      </w:r>
    </w:p>
    <w:p w14:paraId="605F46C4">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截至2024年5月，鸡东县共有卫生医疗机构180家，其中二级医院5家，乡镇卫生院11家，社区卫生服务中心1家，个体诊所43家，村卫生室133家。全县有妇幼保健机构1家，疾病预防控制中心（卫生监督所）1家，急救中心1家。拥有编制（使用）床位1259张、卫生技术人员767人。</w:t>
      </w:r>
    </w:p>
    <w:p w14:paraId="52339CBD">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val="en-US" w:eastAsia="zh-CN"/>
        </w:rPr>
        <w:t>2.2.8.</w:t>
      </w:r>
      <w:r>
        <w:rPr>
          <w:rFonts w:hint="eastAsia" w:ascii="Times New Roman" w:hAnsi="Times New Roman" w:eastAsia="仿宋" w:cs="Times New Roman"/>
          <w:color w:val="333333"/>
          <w:spacing w:val="8"/>
          <w:sz w:val="32"/>
          <w:szCs w:val="32"/>
          <w:lang w:val="en-US" w:eastAsia="zh-CN"/>
        </w:rPr>
        <w:t>5</w:t>
      </w:r>
      <w:r>
        <w:rPr>
          <w:rFonts w:hint="default" w:ascii="Times New Roman" w:hAnsi="Times New Roman" w:eastAsia="仿宋" w:cs="Times New Roman"/>
          <w:color w:val="333333"/>
          <w:spacing w:val="8"/>
          <w:sz w:val="32"/>
          <w:szCs w:val="32"/>
          <w:lang w:eastAsia="zh-CN"/>
        </w:rPr>
        <w:t>社会保障</w:t>
      </w:r>
    </w:p>
    <w:p w14:paraId="7317A46E">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2023年，鸡东县企业职工养老保险参保人数29533人，城乡居民养老保险参保人数61101人（不包括退休），机关事业养老保险参保人数7106人，工伤保险参保人数21031人，失业保险参保人数12359人。养老保险离退休人数达68192人，其中：企业职工养老保险离退休人数为20550人，城乡居民养老保险退休人数达40118人，机关事业养老保险离退休人数7524人。</w:t>
      </w:r>
    </w:p>
    <w:p w14:paraId="6266DF3B">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val="en-US" w:eastAsia="zh-CN"/>
        </w:rPr>
        <w:t>2.2.8.</w:t>
      </w:r>
      <w:r>
        <w:rPr>
          <w:rFonts w:hint="eastAsia" w:ascii="Times New Roman" w:hAnsi="Times New Roman" w:eastAsia="仿宋" w:cs="Times New Roman"/>
          <w:color w:val="333333"/>
          <w:spacing w:val="8"/>
          <w:sz w:val="32"/>
          <w:szCs w:val="32"/>
          <w:lang w:val="en-US" w:eastAsia="zh-CN"/>
        </w:rPr>
        <w:t>6</w:t>
      </w:r>
      <w:r>
        <w:rPr>
          <w:rFonts w:hint="default" w:ascii="Times New Roman" w:hAnsi="Times New Roman" w:eastAsia="仿宋" w:cs="Times New Roman"/>
          <w:color w:val="333333"/>
          <w:spacing w:val="8"/>
          <w:sz w:val="32"/>
          <w:szCs w:val="32"/>
          <w:lang w:eastAsia="zh-CN"/>
        </w:rPr>
        <w:t>交通概况</w:t>
      </w:r>
    </w:p>
    <w:p w14:paraId="2367BD91">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Times New Roman" w:hAnsi="Times New Roman" w:eastAsia="仿宋" w:cs="Times New Roman"/>
          <w:color w:val="333333"/>
          <w:spacing w:val="8"/>
          <w:sz w:val="32"/>
          <w:szCs w:val="32"/>
          <w:lang w:eastAsia="zh-CN"/>
        </w:rPr>
      </w:pPr>
      <w:r>
        <w:rPr>
          <w:rFonts w:hint="eastAsia" w:ascii="Times New Roman" w:hAnsi="Times New Roman" w:eastAsia="仿宋" w:cs="Times New Roman"/>
          <w:color w:val="333333"/>
          <w:spacing w:val="8"/>
          <w:sz w:val="32"/>
          <w:szCs w:val="32"/>
          <w:lang w:eastAsia="zh-CN"/>
        </w:rPr>
        <w:t>2023年，鸡东县公路总里程1495.986千米，其中，国道2条60.876千米，省道1条56.28千米，农村公路里程数1227.752千米，占公路总里程的82.1%，县路251.256千米，乡道401.526千米，村路151.078千米。专用公路574.97千米。</w:t>
      </w:r>
    </w:p>
    <w:p w14:paraId="21F7D1C2">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eastAsia" w:ascii="Times New Roman" w:hAnsi="Times New Roman" w:eastAsia="仿宋" w:cs="Times New Roman"/>
          <w:color w:val="333333"/>
          <w:spacing w:val="8"/>
          <w:sz w:val="32"/>
          <w:szCs w:val="32"/>
          <w:lang w:eastAsia="zh-CN"/>
        </w:rPr>
        <w:t>鸡东县境内有国家铁路林密线、鹤岗—大连公路（201国道）、方虎公路和建鸡高速公路贯穿鸡东县东西，县城距鸡西兴凯湖机场仅8分钟车程，构成了铁路、公路、航空立体式的交通网络。</w:t>
      </w:r>
    </w:p>
    <w:p w14:paraId="6BF96B57">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val="en-US" w:eastAsia="zh-CN"/>
        </w:rPr>
        <w:t>2.2.8.</w:t>
      </w:r>
      <w:r>
        <w:rPr>
          <w:rFonts w:hint="eastAsia" w:ascii="Times New Roman" w:hAnsi="Times New Roman" w:eastAsia="仿宋" w:cs="Times New Roman"/>
          <w:color w:val="333333"/>
          <w:spacing w:val="8"/>
          <w:sz w:val="32"/>
          <w:szCs w:val="32"/>
          <w:lang w:val="en-US" w:eastAsia="zh-CN"/>
        </w:rPr>
        <w:t>7</w:t>
      </w:r>
      <w:r>
        <w:rPr>
          <w:rFonts w:hint="default" w:ascii="Times New Roman" w:hAnsi="Times New Roman" w:eastAsia="仿宋" w:cs="Times New Roman"/>
          <w:color w:val="333333"/>
          <w:spacing w:val="8"/>
          <w:sz w:val="32"/>
          <w:szCs w:val="32"/>
          <w:lang w:eastAsia="zh-CN"/>
        </w:rPr>
        <w:t>公路</w:t>
      </w:r>
    </w:p>
    <w:p w14:paraId="72B83D91">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eastAsia" w:ascii="Times New Roman" w:hAnsi="Times New Roman" w:eastAsia="仿宋" w:cs="Times New Roman"/>
          <w:color w:val="333333"/>
          <w:spacing w:val="8"/>
          <w:sz w:val="32"/>
          <w:szCs w:val="32"/>
          <w:lang w:eastAsia="zh-CN"/>
        </w:rPr>
        <w:t>鸡虎高速公路、鹤大高速公路过境，其中鸡虎高速公路境内长36.5千米，双向4车道，有2个出口，通往密山市、虎林市、城子河区、鸡西市、滴道区。国道201过境，境内长24.05千米，双向4车道，有1个出口，通往鸡西市、七台河市。省道309过境，境内长36.7千米，双向4车道，通往密山，虎林、城子河。鸡西。有县乡（镇）级公路58条，总长612.99千米。县客运公司是国有专业道路旅客运输三级企业，公路日均发送264辆客车，日客运量6000人次。2011年，运输企业拥有货运汽车2646辆、24212吨位；客运汽车233辆、5688座位。</w:t>
      </w:r>
    </w:p>
    <w:p w14:paraId="69E398EE">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val="en-US" w:eastAsia="zh-CN"/>
        </w:rPr>
        <w:t>2.2.8.</w:t>
      </w:r>
      <w:r>
        <w:rPr>
          <w:rFonts w:hint="eastAsia" w:ascii="Times New Roman" w:hAnsi="Times New Roman" w:eastAsia="仿宋" w:cs="Times New Roman"/>
          <w:color w:val="333333"/>
          <w:spacing w:val="8"/>
          <w:sz w:val="32"/>
          <w:szCs w:val="32"/>
          <w:lang w:val="en-US" w:eastAsia="zh-CN"/>
        </w:rPr>
        <w:t>8铁路</w:t>
      </w:r>
    </w:p>
    <w:p w14:paraId="7EF586B8">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Times New Roman" w:hAnsi="Times New Roman" w:eastAsia="仿宋" w:cs="Times New Roman"/>
          <w:color w:val="333333"/>
          <w:spacing w:val="8"/>
          <w:sz w:val="32"/>
          <w:szCs w:val="32"/>
          <w:lang w:eastAsia="zh-CN"/>
        </w:rPr>
      </w:pPr>
      <w:r>
        <w:rPr>
          <w:rFonts w:hint="eastAsia" w:ascii="Times New Roman" w:hAnsi="Times New Roman" w:eastAsia="仿宋" w:cs="Times New Roman"/>
          <w:color w:val="333333"/>
          <w:spacing w:val="8"/>
          <w:sz w:val="32"/>
          <w:szCs w:val="32"/>
          <w:lang w:eastAsia="zh-CN"/>
        </w:rPr>
        <w:t>鸡东县铁路有林密线过境，境内长46千米，为普轨国家级铁路，设鸡东、东海、永安3个站，通往密山；鸡东火车站为三等站，日均有12列客车停靠，快车有K7155次、K7153、K7027三对6列，慢车有4041、4043、6223三对6列，日客运量457人次，年货运吞吐量317.6万吨。</w:t>
      </w:r>
    </w:p>
    <w:p w14:paraId="7862412D">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Times New Roman" w:hAnsi="Times New Roman" w:eastAsia="仿宋" w:cs="Times New Roman"/>
          <w:color w:val="333333"/>
          <w:spacing w:val="8"/>
          <w:sz w:val="32"/>
          <w:szCs w:val="32"/>
          <w:lang w:val="en-US" w:eastAsia="zh-CN"/>
        </w:rPr>
      </w:pPr>
      <w:r>
        <w:rPr>
          <w:rFonts w:hint="default" w:ascii="Times New Roman" w:hAnsi="Times New Roman" w:eastAsia="仿宋" w:cs="Times New Roman"/>
          <w:color w:val="333333"/>
          <w:spacing w:val="8"/>
          <w:sz w:val="32"/>
          <w:szCs w:val="32"/>
          <w:lang w:eastAsia="zh-CN"/>
        </w:rPr>
        <w:t>2.2.8.</w:t>
      </w:r>
      <w:r>
        <w:rPr>
          <w:rFonts w:hint="eastAsia" w:ascii="Times New Roman" w:hAnsi="Times New Roman" w:eastAsia="仿宋" w:cs="Times New Roman"/>
          <w:color w:val="333333"/>
          <w:spacing w:val="8"/>
          <w:sz w:val="32"/>
          <w:szCs w:val="32"/>
          <w:lang w:val="en-US" w:eastAsia="zh-CN"/>
        </w:rPr>
        <w:t>9航空</w:t>
      </w:r>
    </w:p>
    <w:p w14:paraId="736F58EA">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pPr>
      <w:r>
        <w:rPr>
          <w:rFonts w:hint="default" w:ascii="Times New Roman" w:hAnsi="Times New Roman" w:eastAsia="仿宋" w:cs="Times New Roman"/>
          <w:color w:val="333333"/>
          <w:spacing w:val="8"/>
          <w:sz w:val="32"/>
          <w:szCs w:val="32"/>
          <w:lang w:val="en-US" w:eastAsia="zh-CN"/>
        </w:rPr>
        <w:t>鸡西兴凯湖机场位于鸡东县境内哈达镇程家村，占地面积12万平方米，飞机跑道长2300米，宽48米，是鸡西市唯一家民用机场，有飞往北京、上海、广州、沈阳、青岛、成都、杭州等航线。</w:t>
      </w:r>
    </w:p>
    <w:p w14:paraId="2281738F">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54" w:name="_Toc16624"/>
      <w:bookmarkStart w:id="55" w:name="_Toc8203"/>
      <w:r>
        <w:rPr>
          <w:rFonts w:hint="default" w:ascii="Times New Roman" w:hAnsi="Times New Roman" w:eastAsia="方正楷体_GB2312" w:cs="Times New Roman"/>
        </w:rPr>
        <w:t>2.2成片开发总体情况</w:t>
      </w:r>
      <w:bookmarkEnd w:id="54"/>
      <w:bookmarkEnd w:id="55"/>
    </w:p>
    <w:p w14:paraId="1921B560">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本次成片开发用地总面积</w:t>
      </w:r>
      <w:r>
        <w:rPr>
          <w:rFonts w:hint="eastAsia" w:ascii="Times New Roman" w:hAnsi="Times New Roman" w:eastAsia="仿宋" w:cs="Times New Roman"/>
          <w:color w:val="333333"/>
          <w:spacing w:val="8"/>
          <w:sz w:val="32"/>
          <w:szCs w:val="32"/>
          <w:lang w:eastAsia="zh-CN"/>
        </w:rPr>
        <w:t>75.4607</w:t>
      </w:r>
      <w:r>
        <w:rPr>
          <w:rFonts w:hint="default" w:ascii="Times New Roman" w:hAnsi="Times New Roman" w:eastAsia="仿宋" w:cs="Times New Roman"/>
          <w:color w:val="333333"/>
          <w:spacing w:val="8"/>
          <w:sz w:val="32"/>
          <w:szCs w:val="32"/>
          <w:lang w:eastAsia="zh-CN"/>
        </w:rPr>
        <w:t>公顷。用地性质有</w:t>
      </w:r>
      <w:r>
        <w:rPr>
          <w:rFonts w:hint="default" w:ascii="Times New Roman" w:hAnsi="Times New Roman" w:eastAsia="仿宋" w:cs="Times New Roman"/>
          <w:color w:val="333333"/>
          <w:spacing w:val="8"/>
          <w:sz w:val="32"/>
          <w:szCs w:val="32"/>
          <w:lang w:val="en-US" w:eastAsia="zh-CN"/>
        </w:rPr>
        <w:t>农</w:t>
      </w:r>
      <w:r>
        <w:rPr>
          <w:rFonts w:hint="default" w:ascii="Times New Roman" w:hAnsi="Times New Roman" w:eastAsia="仿宋" w:cs="Times New Roman"/>
          <w:color w:val="333333"/>
          <w:spacing w:val="8"/>
          <w:sz w:val="32"/>
          <w:szCs w:val="32"/>
          <w:lang w:eastAsia="zh-CN"/>
        </w:rPr>
        <w:t>用地</w:t>
      </w:r>
      <w:r>
        <w:rPr>
          <w:rFonts w:hint="eastAsia" w:ascii="Times New Roman" w:hAnsi="Times New Roman" w:eastAsia="仿宋" w:cs="Times New Roman"/>
          <w:color w:val="333333"/>
          <w:spacing w:val="8"/>
          <w:sz w:val="32"/>
          <w:szCs w:val="32"/>
          <w:lang w:val="en-US" w:eastAsia="zh-CN"/>
        </w:rPr>
        <w:t>及</w:t>
      </w:r>
      <w:r>
        <w:rPr>
          <w:rFonts w:hint="default" w:ascii="Times New Roman" w:hAnsi="Times New Roman" w:eastAsia="仿宋" w:cs="Times New Roman"/>
          <w:color w:val="333333"/>
          <w:spacing w:val="8"/>
          <w:sz w:val="32"/>
          <w:szCs w:val="32"/>
          <w:lang w:val="en-US" w:eastAsia="zh-CN"/>
        </w:rPr>
        <w:t>建设</w:t>
      </w:r>
      <w:r>
        <w:rPr>
          <w:rFonts w:hint="default" w:ascii="Times New Roman" w:hAnsi="Times New Roman" w:eastAsia="仿宋" w:cs="Times New Roman"/>
          <w:color w:val="333333"/>
          <w:spacing w:val="8"/>
          <w:sz w:val="32"/>
          <w:szCs w:val="32"/>
          <w:lang w:eastAsia="zh-CN"/>
        </w:rPr>
        <w:t>用地；成片开发范围内公益性用地</w:t>
      </w:r>
      <w:r>
        <w:rPr>
          <w:rFonts w:hint="eastAsia" w:ascii="Times New Roman" w:hAnsi="Times New Roman" w:eastAsia="仿宋" w:cs="Times New Roman"/>
          <w:color w:val="333333"/>
          <w:spacing w:val="8"/>
          <w:sz w:val="32"/>
          <w:szCs w:val="32"/>
          <w:lang w:val="en-US" w:eastAsia="zh-CN"/>
        </w:rPr>
        <w:t>30.9362</w:t>
      </w:r>
      <w:r>
        <w:rPr>
          <w:rFonts w:hint="default" w:ascii="Times New Roman" w:hAnsi="Times New Roman" w:eastAsia="仿宋" w:cs="Times New Roman"/>
          <w:color w:val="333333"/>
          <w:spacing w:val="8"/>
          <w:sz w:val="32"/>
          <w:szCs w:val="32"/>
          <w:lang w:eastAsia="zh-CN"/>
        </w:rPr>
        <w:t>公顷，占用地总面积</w:t>
      </w:r>
      <w:r>
        <w:rPr>
          <w:rFonts w:hint="eastAsia" w:ascii="Times New Roman" w:hAnsi="Times New Roman" w:eastAsia="仿宋" w:cs="Times New Roman"/>
          <w:color w:val="333333"/>
          <w:spacing w:val="8"/>
          <w:sz w:val="32"/>
          <w:szCs w:val="32"/>
          <w:lang w:val="en-US" w:eastAsia="zh-CN"/>
        </w:rPr>
        <w:t>41</w:t>
      </w:r>
      <w:r>
        <w:rPr>
          <w:rFonts w:hint="default" w:ascii="Times New Roman" w:hAnsi="Times New Roman" w:eastAsia="仿宋" w:cs="Times New Roman"/>
          <w:color w:val="333333"/>
          <w:spacing w:val="8"/>
          <w:sz w:val="32"/>
          <w:szCs w:val="32"/>
          <w:lang w:val="en-US" w:eastAsia="zh-CN"/>
        </w:rPr>
        <w:t>%</w:t>
      </w:r>
      <w:r>
        <w:rPr>
          <w:rFonts w:hint="default" w:ascii="Times New Roman" w:hAnsi="Times New Roman" w:eastAsia="仿宋" w:cs="Times New Roman"/>
          <w:color w:val="333333"/>
          <w:spacing w:val="8"/>
          <w:sz w:val="32"/>
          <w:szCs w:val="32"/>
          <w:lang w:eastAsia="zh-CN"/>
        </w:rPr>
        <w:t>；符合自然资源部《土地征收成片开发标准》（自然资规〔2023〕7号）公益性用地不低于40%的要求。</w:t>
      </w:r>
    </w:p>
    <w:p w14:paraId="0A9A1647">
      <w:pPr>
        <w:pStyle w:val="19"/>
        <w:ind w:left="0" w:leftChars="0" w:firstLine="0" w:firstLineChars="0"/>
        <w:jc w:val="center"/>
        <w:rPr>
          <w:rFonts w:hint="eastAsia" w:ascii="Times New Roman" w:hAnsi="Times New Roman" w:eastAsia="宋体" w:cs="Times New Roman"/>
          <w:color w:val="333333"/>
          <w:spacing w:val="8"/>
          <w:sz w:val="28"/>
          <w:szCs w:val="28"/>
          <w:lang w:eastAsia="zh-CN"/>
        </w:rPr>
      </w:pPr>
      <w:r>
        <w:rPr>
          <w:rFonts w:hint="eastAsia" w:ascii="Times New Roman" w:hAnsi="Times New Roman" w:eastAsia="宋体" w:cs="Times New Roman"/>
          <w:color w:val="333333"/>
          <w:spacing w:val="8"/>
          <w:sz w:val="28"/>
          <w:szCs w:val="28"/>
          <w:lang w:eastAsia="zh-CN"/>
        </w:rPr>
        <w:drawing>
          <wp:inline distT="0" distB="0" distL="114300" distR="114300">
            <wp:extent cx="5263515" cy="7437755"/>
            <wp:effectExtent l="0" t="0" r="13335" b="10795"/>
            <wp:docPr id="3" name="图片 3" descr="G:/28、鸡东成片开发/鸡东县成片开发/02数据处理/02鸡东县成片开发位置示意图.jpg02鸡东县成片开发位置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28、鸡东成片开发/鸡东县成片开发/02数据处理/02鸡东县成片开发位置示意图.jpg02鸡东县成片开发位置示意图"/>
                    <pic:cNvPicPr>
                      <a:picLocks noChangeAspect="1"/>
                    </pic:cNvPicPr>
                  </pic:nvPicPr>
                  <pic:blipFill>
                    <a:blip r:embed="rId6"/>
                    <a:srcRect t="6" b="6"/>
                    <a:stretch>
                      <a:fillRect/>
                    </a:stretch>
                  </pic:blipFill>
                  <pic:spPr>
                    <a:xfrm>
                      <a:off x="0" y="0"/>
                      <a:ext cx="5263515" cy="7437755"/>
                    </a:xfrm>
                    <a:prstGeom prst="rect">
                      <a:avLst/>
                    </a:prstGeom>
                  </pic:spPr>
                </pic:pic>
              </a:graphicData>
            </a:graphic>
          </wp:inline>
        </w:drawing>
      </w:r>
    </w:p>
    <w:p w14:paraId="2D30C988">
      <w:pPr>
        <w:rPr>
          <w:rFonts w:hint="eastAsia" w:ascii="Times New Roman" w:hAnsi="Times New Roman" w:eastAsia="宋体" w:cs="Times New Roman"/>
          <w:color w:val="333333"/>
          <w:spacing w:val="8"/>
          <w:sz w:val="28"/>
          <w:szCs w:val="28"/>
          <w:lang w:eastAsia="zh-CN"/>
        </w:rPr>
      </w:pPr>
      <w:r>
        <w:rPr>
          <w:rFonts w:hint="eastAsia" w:ascii="Times New Roman" w:hAnsi="Times New Roman" w:eastAsia="宋体" w:cs="Times New Roman"/>
          <w:color w:val="333333"/>
          <w:spacing w:val="8"/>
          <w:sz w:val="28"/>
          <w:szCs w:val="28"/>
          <w:lang w:eastAsia="zh-CN"/>
        </w:rPr>
        <w:br w:type="page"/>
      </w:r>
    </w:p>
    <w:p w14:paraId="12B1C220">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56" w:name="_Toc29066"/>
      <w:bookmarkStart w:id="57" w:name="_Toc27597"/>
      <w:r>
        <w:rPr>
          <w:rFonts w:hint="default" w:ascii="Times New Roman" w:hAnsi="Times New Roman" w:eastAsia="方正楷体_GB2312" w:cs="Times New Roman"/>
        </w:rPr>
        <w:t>2.3土地权属情况</w:t>
      </w:r>
      <w:bookmarkEnd w:id="56"/>
      <w:bookmarkEnd w:id="57"/>
    </w:p>
    <w:p w14:paraId="79572A2F">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根据</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val="en-US" w:eastAsia="zh-CN"/>
        </w:rPr>
        <w:t>2023</w:t>
      </w:r>
      <w:r>
        <w:rPr>
          <w:rFonts w:hint="default" w:ascii="Times New Roman" w:hAnsi="Times New Roman" w:eastAsia="仿宋" w:cs="Times New Roman"/>
          <w:color w:val="333333"/>
          <w:spacing w:val="8"/>
          <w:sz w:val="32"/>
          <w:szCs w:val="32"/>
          <w:lang w:eastAsia="zh-CN"/>
        </w:rPr>
        <w:t>年度国土变更调查数据，本次成片开发</w:t>
      </w:r>
      <w:r>
        <w:rPr>
          <w:rFonts w:hint="eastAsia" w:ascii="Times New Roman" w:hAnsi="Times New Roman" w:eastAsia="仿宋" w:cs="Times New Roman"/>
          <w:color w:val="333333"/>
          <w:spacing w:val="8"/>
          <w:sz w:val="32"/>
          <w:szCs w:val="32"/>
          <w:lang w:val="en-US" w:eastAsia="zh-CN"/>
        </w:rPr>
        <w:t>共计</w:t>
      </w:r>
      <w:r>
        <w:rPr>
          <w:rFonts w:hint="default" w:ascii="Times New Roman" w:hAnsi="Times New Roman" w:eastAsia="仿宋" w:cs="Times New Roman"/>
          <w:color w:val="333333"/>
          <w:spacing w:val="8"/>
          <w:sz w:val="32"/>
          <w:szCs w:val="32"/>
          <w:lang w:eastAsia="zh-CN"/>
        </w:rPr>
        <w:t>涉及</w:t>
      </w:r>
      <w:r>
        <w:rPr>
          <w:rFonts w:hint="eastAsia" w:ascii="Times New Roman" w:hAnsi="Times New Roman" w:eastAsia="仿宋" w:cs="Times New Roman"/>
          <w:color w:val="333333"/>
          <w:spacing w:val="8"/>
          <w:sz w:val="32"/>
          <w:szCs w:val="32"/>
          <w:lang w:val="en-US" w:eastAsia="zh-CN"/>
        </w:rPr>
        <w:t>14</w:t>
      </w:r>
      <w:r>
        <w:rPr>
          <w:rFonts w:hint="default" w:ascii="Times New Roman" w:hAnsi="Times New Roman" w:eastAsia="仿宋" w:cs="Times New Roman"/>
          <w:color w:val="333333"/>
          <w:spacing w:val="8"/>
          <w:sz w:val="32"/>
          <w:szCs w:val="32"/>
          <w:lang w:eastAsia="zh-CN"/>
        </w:rPr>
        <w:t>宗土地</w:t>
      </w:r>
      <w:r>
        <w:rPr>
          <w:rFonts w:hint="eastAsia" w:ascii="Times New Roman" w:hAnsi="Times New Roman" w:eastAsia="仿宋" w:cs="Times New Roman"/>
          <w:color w:val="333333"/>
          <w:spacing w:val="8"/>
          <w:sz w:val="32"/>
          <w:szCs w:val="32"/>
          <w:lang w:val="en-US" w:eastAsia="zh-CN"/>
        </w:rPr>
        <w:t>，</w:t>
      </w:r>
      <w:r>
        <w:rPr>
          <w:rFonts w:hint="default" w:ascii="Times New Roman" w:hAnsi="Times New Roman" w:eastAsia="仿宋" w:cs="Times New Roman"/>
          <w:color w:val="333333"/>
          <w:spacing w:val="8"/>
          <w:sz w:val="32"/>
          <w:szCs w:val="32"/>
          <w:lang w:val="en-US" w:eastAsia="zh-CN"/>
        </w:rPr>
        <w:t>界址清</w:t>
      </w:r>
      <w:r>
        <w:rPr>
          <w:rFonts w:hint="default" w:ascii="Times New Roman" w:hAnsi="Times New Roman" w:eastAsia="仿宋" w:cs="Times New Roman"/>
          <w:color w:val="333333"/>
          <w:spacing w:val="8"/>
          <w:sz w:val="32"/>
          <w:szCs w:val="32"/>
          <w:lang w:eastAsia="zh-CN"/>
        </w:rPr>
        <w:t>楚，地类、面积准确，土地权属明确，无争议。</w:t>
      </w:r>
    </w:p>
    <w:p w14:paraId="5CBA9353">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58" w:name="_Toc10715"/>
      <w:bookmarkStart w:id="59" w:name="_Toc1461"/>
      <w:r>
        <w:rPr>
          <w:rFonts w:hint="default" w:ascii="Times New Roman" w:hAnsi="Times New Roman" w:eastAsia="方正楷体_GB2312" w:cs="Times New Roman"/>
        </w:rPr>
        <w:t>2.4土地利用现状情况</w:t>
      </w:r>
      <w:bookmarkEnd w:id="58"/>
      <w:bookmarkEnd w:id="59"/>
    </w:p>
    <w:p w14:paraId="3C2C47B3">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根据</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val="en-US" w:eastAsia="zh-CN"/>
        </w:rPr>
        <w:t>2023</w:t>
      </w:r>
      <w:r>
        <w:rPr>
          <w:rFonts w:hint="default" w:ascii="Times New Roman" w:hAnsi="Times New Roman" w:eastAsia="仿宋" w:cs="Times New Roman"/>
          <w:color w:val="333333"/>
          <w:spacing w:val="8"/>
          <w:sz w:val="32"/>
          <w:szCs w:val="32"/>
          <w:lang w:eastAsia="zh-CN"/>
        </w:rPr>
        <w:t>年度国土变更调查数据，</w:t>
      </w:r>
      <w:r>
        <w:rPr>
          <w:rFonts w:hint="default" w:ascii="Times New Roman" w:hAnsi="Times New Roman" w:eastAsia="仿宋" w:cs="Times New Roman"/>
          <w:color w:val="333333"/>
          <w:spacing w:val="8"/>
          <w:sz w:val="32"/>
          <w:szCs w:val="32"/>
          <w:highlight w:val="none"/>
          <w:lang w:eastAsia="zh-CN"/>
        </w:rPr>
        <w:t>本次成片开发拟用地面积</w:t>
      </w:r>
      <w:r>
        <w:rPr>
          <w:rFonts w:hint="eastAsia" w:ascii="Times New Roman" w:hAnsi="Times New Roman" w:eastAsia="仿宋" w:cs="Times New Roman"/>
          <w:color w:val="333333"/>
          <w:spacing w:val="8"/>
          <w:sz w:val="32"/>
          <w:szCs w:val="32"/>
          <w:highlight w:val="none"/>
          <w:lang w:val="en-US" w:eastAsia="zh-CN"/>
        </w:rPr>
        <w:t>75.4607</w:t>
      </w:r>
      <w:r>
        <w:rPr>
          <w:rFonts w:hint="default" w:ascii="Times New Roman" w:hAnsi="Times New Roman" w:eastAsia="仿宋" w:cs="Times New Roman"/>
          <w:color w:val="333333"/>
          <w:spacing w:val="8"/>
          <w:sz w:val="32"/>
          <w:szCs w:val="32"/>
          <w:highlight w:val="none"/>
          <w:lang w:eastAsia="zh-CN"/>
        </w:rPr>
        <w:t>公顷，其中农用</w:t>
      </w:r>
      <w:r>
        <w:rPr>
          <w:rFonts w:hint="default" w:ascii="Times New Roman" w:hAnsi="Times New Roman" w:eastAsia="仿宋" w:cs="Times New Roman"/>
          <w:color w:val="333333"/>
          <w:spacing w:val="8"/>
          <w:sz w:val="32"/>
          <w:szCs w:val="32"/>
          <w:highlight w:val="none"/>
          <w:lang w:val="en-US" w:eastAsia="zh-CN"/>
        </w:rPr>
        <w:t>地</w:t>
      </w:r>
      <w:r>
        <w:rPr>
          <w:rFonts w:hint="default" w:ascii="Times New Roman" w:hAnsi="Times New Roman" w:eastAsia="仿宋" w:cs="Times New Roman"/>
          <w:color w:val="333333"/>
          <w:spacing w:val="8"/>
          <w:sz w:val="32"/>
          <w:szCs w:val="32"/>
          <w:highlight w:val="none"/>
          <w:lang w:eastAsia="zh-CN"/>
        </w:rPr>
        <w:t>58.5427公顷</w:t>
      </w:r>
      <w:r>
        <w:rPr>
          <w:rFonts w:hint="default" w:ascii="Times New Roman" w:hAnsi="Times New Roman" w:eastAsia="仿宋" w:cs="Times New Roman"/>
          <w:color w:val="333333"/>
          <w:spacing w:val="8"/>
          <w:sz w:val="32"/>
          <w:szCs w:val="32"/>
          <w:lang w:eastAsia="zh-CN"/>
        </w:rPr>
        <w:t>（其中水田面积为10.214</w:t>
      </w:r>
      <w:r>
        <w:rPr>
          <w:rFonts w:hint="eastAsia" w:ascii="Times New Roman" w:hAnsi="Times New Roman" w:eastAsia="仿宋" w:cs="Times New Roman"/>
          <w:color w:val="333333"/>
          <w:spacing w:val="8"/>
          <w:sz w:val="32"/>
          <w:szCs w:val="32"/>
          <w:lang w:val="en-US" w:eastAsia="zh-CN"/>
        </w:rPr>
        <w:t>0</w:t>
      </w:r>
      <w:r>
        <w:rPr>
          <w:rFonts w:hint="default" w:ascii="Times New Roman" w:hAnsi="Times New Roman" w:eastAsia="仿宋" w:cs="Times New Roman"/>
          <w:color w:val="333333"/>
          <w:spacing w:val="8"/>
          <w:sz w:val="32"/>
          <w:szCs w:val="32"/>
          <w:lang w:eastAsia="zh-CN"/>
        </w:rPr>
        <w:t>公顷，旱地面积为41.457</w:t>
      </w:r>
      <w:r>
        <w:rPr>
          <w:rFonts w:hint="eastAsia" w:ascii="Times New Roman" w:hAnsi="Times New Roman" w:eastAsia="仿宋" w:cs="Times New Roman"/>
          <w:color w:val="333333"/>
          <w:spacing w:val="8"/>
          <w:sz w:val="32"/>
          <w:szCs w:val="32"/>
          <w:lang w:val="en-US" w:eastAsia="zh-CN"/>
        </w:rPr>
        <w:t>0</w:t>
      </w:r>
      <w:r>
        <w:rPr>
          <w:rFonts w:hint="default" w:ascii="Times New Roman" w:hAnsi="Times New Roman" w:eastAsia="仿宋" w:cs="Times New Roman"/>
          <w:color w:val="333333"/>
          <w:spacing w:val="8"/>
          <w:sz w:val="32"/>
          <w:szCs w:val="32"/>
          <w:lang w:eastAsia="zh-CN"/>
        </w:rPr>
        <w:t>公顷，乔木林地面积为0.9681公顷，占总面积的1.29%，其他林地面积为0.5795公顷，</w:t>
      </w:r>
      <w:r>
        <w:rPr>
          <w:rFonts w:hint="eastAsia" w:ascii="Times New Roman" w:hAnsi="Times New Roman" w:eastAsia="仿宋" w:cs="Times New Roman"/>
          <w:color w:val="333333"/>
          <w:spacing w:val="8"/>
          <w:sz w:val="32"/>
          <w:szCs w:val="32"/>
          <w:lang w:val="en-US" w:eastAsia="zh-CN"/>
        </w:rPr>
        <w:t>其他林地面积</w:t>
      </w:r>
      <w:r>
        <w:rPr>
          <w:rFonts w:hint="default" w:ascii="Times New Roman" w:hAnsi="Times New Roman" w:eastAsia="仿宋" w:cs="Times New Roman"/>
          <w:color w:val="333333"/>
          <w:spacing w:val="8"/>
          <w:sz w:val="32"/>
          <w:szCs w:val="32"/>
          <w:lang w:eastAsia="zh-CN"/>
        </w:rPr>
        <w:t>1.3196公顷</w:t>
      </w:r>
      <w:r>
        <w:rPr>
          <w:rFonts w:hint="eastAsia" w:ascii="Times New Roman" w:hAnsi="Times New Roman" w:eastAsia="仿宋" w:cs="Times New Roman"/>
          <w:color w:val="333333"/>
          <w:spacing w:val="8"/>
          <w:sz w:val="32"/>
          <w:szCs w:val="32"/>
          <w:lang w:eastAsia="zh-CN"/>
        </w:rPr>
        <w:t>，</w:t>
      </w:r>
      <w:r>
        <w:rPr>
          <w:rFonts w:hint="default" w:ascii="Times New Roman" w:hAnsi="Times New Roman" w:eastAsia="仿宋" w:cs="Times New Roman"/>
          <w:color w:val="333333"/>
          <w:spacing w:val="8"/>
          <w:sz w:val="32"/>
          <w:szCs w:val="32"/>
          <w:lang w:eastAsia="zh-CN"/>
        </w:rPr>
        <w:t>其他草地面积为0.8185公顷，农村道路面积为1.4027公顷，沟渠面积为1.7577公顷，</w:t>
      </w:r>
      <w:r>
        <w:rPr>
          <w:rFonts w:hint="eastAsia" w:ascii="Times New Roman" w:hAnsi="Times New Roman" w:eastAsia="仿宋" w:cs="Times New Roman"/>
          <w:color w:val="333333"/>
          <w:spacing w:val="8"/>
          <w:sz w:val="32"/>
          <w:szCs w:val="32"/>
          <w:lang w:val="en-US" w:eastAsia="zh-CN"/>
        </w:rPr>
        <w:t>果园面积为0.9937公顷</w:t>
      </w:r>
      <w:r>
        <w:rPr>
          <w:rFonts w:hint="default" w:ascii="Times New Roman" w:hAnsi="Times New Roman" w:eastAsia="仿宋" w:cs="Times New Roman"/>
          <w:color w:val="333333"/>
          <w:spacing w:val="8"/>
          <w:sz w:val="32"/>
          <w:szCs w:val="32"/>
          <w:lang w:eastAsia="zh-CN"/>
        </w:rPr>
        <w:t>，）；建设用地16.8129公顷（其中城镇村范围内建设用地面积为16.7237公顷，公路用地面积为0.0892公顷）</w:t>
      </w:r>
      <w:r>
        <w:rPr>
          <w:rFonts w:hint="eastAsia" w:ascii="Times New Roman" w:hAnsi="Times New Roman" w:eastAsia="仿宋" w:cs="Times New Roman"/>
          <w:color w:val="333333"/>
          <w:spacing w:val="8"/>
          <w:sz w:val="32"/>
          <w:szCs w:val="32"/>
          <w:lang w:eastAsia="zh-CN"/>
        </w:rPr>
        <w:t>、</w:t>
      </w:r>
      <w:r>
        <w:rPr>
          <w:rFonts w:hint="eastAsia" w:ascii="Times New Roman" w:hAnsi="Times New Roman" w:eastAsia="仿宋" w:cs="Times New Roman"/>
          <w:color w:val="333333"/>
          <w:spacing w:val="8"/>
          <w:sz w:val="32"/>
          <w:szCs w:val="32"/>
          <w:lang w:val="en-US" w:eastAsia="zh-CN"/>
        </w:rPr>
        <w:t>未利用地0.1051公顷（裸土地0.1051公顷）</w:t>
      </w:r>
      <w:r>
        <w:rPr>
          <w:rFonts w:hint="default" w:ascii="Times New Roman" w:hAnsi="Times New Roman" w:eastAsia="仿宋" w:cs="Times New Roman"/>
          <w:color w:val="333333"/>
          <w:spacing w:val="8"/>
          <w:sz w:val="32"/>
          <w:szCs w:val="32"/>
          <w:lang w:eastAsia="zh-CN"/>
        </w:rPr>
        <w:t>。</w:t>
      </w:r>
    </w:p>
    <w:p w14:paraId="57944D2F">
      <w:pPr>
        <w:rPr>
          <w:rFonts w:hint="default" w:ascii="Times New Roman" w:hAnsi="Times New Roman" w:eastAsia="仿宋" w:cs="Times New Roman"/>
          <w:color w:val="333333"/>
          <w:spacing w:val="8"/>
          <w:sz w:val="32"/>
          <w:szCs w:val="32"/>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仿宋" w:cs="Times New Roman"/>
          <w:color w:val="333333"/>
          <w:spacing w:val="8"/>
          <w:sz w:val="32"/>
          <w:szCs w:val="32"/>
          <w:lang w:eastAsia="zh-CN"/>
        </w:rPr>
        <w:br w:type="page"/>
      </w:r>
    </w:p>
    <w:p w14:paraId="3345A0D6">
      <w:pPr>
        <w:pStyle w:val="2"/>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黑体" w:cs="Times New Roman"/>
          <w:sz w:val="32"/>
          <w:szCs w:val="32"/>
        </w:rPr>
      </w:pPr>
      <w:bookmarkStart w:id="60" w:name="_Toc29478"/>
      <w:bookmarkStart w:id="61" w:name="_Toc6840"/>
      <w:r>
        <w:rPr>
          <w:rFonts w:hint="default" w:ascii="Times New Roman" w:hAnsi="Times New Roman" w:eastAsia="黑体" w:cs="Times New Roman"/>
          <w:sz w:val="32"/>
          <w:szCs w:val="32"/>
        </w:rPr>
        <w:t>3.必要性及公益性分析</w:t>
      </w:r>
      <w:bookmarkEnd w:id="60"/>
      <w:bookmarkEnd w:id="61"/>
    </w:p>
    <w:p w14:paraId="35DA1F66">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62" w:name="_Toc21027"/>
      <w:bookmarkStart w:id="63" w:name="_Toc8518"/>
      <w:r>
        <w:rPr>
          <w:rFonts w:hint="default" w:ascii="Times New Roman" w:hAnsi="Times New Roman" w:eastAsia="方正楷体_GB2312" w:cs="Times New Roman"/>
        </w:rPr>
        <w:t>3.1必要性</w:t>
      </w:r>
      <w:bookmarkEnd w:id="62"/>
      <w:bookmarkEnd w:id="63"/>
    </w:p>
    <w:p w14:paraId="6AB979ED">
      <w:pPr>
        <w:pStyle w:val="37"/>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64" w:name="_Toc18315"/>
      <w:bookmarkStart w:id="65" w:name="_Toc31674"/>
      <w:r>
        <w:rPr>
          <w:rFonts w:hint="default" w:ascii="Times New Roman" w:hAnsi="Times New Roman" w:eastAsia="方正仿宋_GB18030" w:cs="Times New Roman"/>
          <w:sz w:val="32"/>
          <w:szCs w:val="32"/>
          <w:lang w:val="en-US" w:eastAsia="zh-CN"/>
        </w:rPr>
        <w:t>3.1.1开发方案符合国家相关规划和政策</w:t>
      </w:r>
      <w:bookmarkEnd w:id="64"/>
      <w:bookmarkEnd w:id="65"/>
    </w:p>
    <w:p w14:paraId="442F6542">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本次成片开发项目建设有利于</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经济发展，符合国家战略发展，该项目对我县具有重要的战略意义，有利于提升企业知名度能力，培育产业发展新优势；有利于加速我县产业转型升级，壮大经济增长新动能；有利于加快制造强国、科技强国、网络强国、交通强国、数字中国、智慧社会建设，增强新时代国家综合实力；有利于保障生命安全，提高交通效率，促进节能减排，增进人民福祉。</w:t>
      </w:r>
    </w:p>
    <w:p w14:paraId="2809466E">
      <w:pPr>
        <w:pStyle w:val="37"/>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66" w:name="_Toc10058"/>
      <w:bookmarkStart w:id="67" w:name="_Toc9555"/>
      <w:r>
        <w:rPr>
          <w:rFonts w:hint="default" w:ascii="Times New Roman" w:hAnsi="Times New Roman" w:eastAsia="方正仿宋_GB18030" w:cs="Times New Roman"/>
          <w:sz w:val="32"/>
          <w:szCs w:val="32"/>
          <w:lang w:val="en-US" w:eastAsia="zh-CN"/>
        </w:rPr>
        <w:t>3.1.2开发方案能有效提高土地利用效率</w:t>
      </w:r>
      <w:bookmarkEnd w:id="66"/>
      <w:bookmarkEnd w:id="67"/>
    </w:p>
    <w:p w14:paraId="624C7A27">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国家采取日益严格的措施对土地供给和投资加以调控，并从产业向导、投资密度、用地规模和投入产出率等方面对用地项目实行严格控制，努力提高土地利用率，如何在加快发展的同时，实现土地集约节约，已经成为经济发展的主要问题。</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土地征收成片开发项目的实施，可以使得片区内的公益性用地和非公益性用地合理配置和布局，通过片区规范化的产业用地配置，有利于优化资源配置，缓解用地紧张矛盾。考虑到针对土地利用中遇到的不同难题需采取对应的治理方式、高效利用土地资源并尽可能提高资源利用率，对区域内土地利用模式的选择需要更加谨慎，不仅要保证相应模式与自然条件在时空上相一致，而且要使之协同社会经济发展，在“农”、“建”的选择上因地制宜，提高每一寸土地资源的利用率，使之效用最大化，严格遵守土地利用的生态安全性和合理性原则。</w:t>
      </w:r>
    </w:p>
    <w:p w14:paraId="529BEBFD">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68" w:name="_Toc1877"/>
      <w:bookmarkStart w:id="69" w:name="_Toc20311"/>
      <w:r>
        <w:rPr>
          <w:rFonts w:hint="default" w:ascii="Times New Roman" w:hAnsi="Times New Roman" w:eastAsia="方正楷体_GB2312" w:cs="Times New Roman"/>
        </w:rPr>
        <w:t>3.2公益性</w:t>
      </w:r>
      <w:bookmarkEnd w:id="68"/>
      <w:bookmarkEnd w:id="69"/>
    </w:p>
    <w:p w14:paraId="68A2CB05">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本次成片开发范围内拟建公益性用地包括</w:t>
      </w:r>
      <w:r>
        <w:rPr>
          <w:rFonts w:hint="eastAsia" w:ascii="Times New Roman" w:hAnsi="Times New Roman" w:eastAsia="仿宋" w:cs="Times New Roman"/>
          <w:color w:val="333333"/>
          <w:spacing w:val="8"/>
          <w:sz w:val="32"/>
          <w:szCs w:val="32"/>
          <w:lang w:val="en-US" w:eastAsia="zh-CN"/>
        </w:rPr>
        <w:t>公园绿</w:t>
      </w:r>
      <w:r>
        <w:rPr>
          <w:rFonts w:hint="default" w:ascii="Times New Roman" w:hAnsi="Times New Roman" w:eastAsia="仿宋" w:cs="Times New Roman"/>
          <w:color w:val="333333"/>
          <w:spacing w:val="8"/>
          <w:sz w:val="32"/>
          <w:szCs w:val="32"/>
          <w:lang w:eastAsia="zh-CN"/>
        </w:rPr>
        <w:t>地面积为</w:t>
      </w:r>
      <w:r>
        <w:rPr>
          <w:rFonts w:hint="eastAsia" w:ascii="Times New Roman" w:hAnsi="Times New Roman" w:eastAsia="仿宋" w:cs="Times New Roman"/>
          <w:color w:val="333333"/>
          <w:spacing w:val="8"/>
          <w:sz w:val="32"/>
          <w:szCs w:val="32"/>
          <w:lang w:eastAsia="zh-CN"/>
        </w:rPr>
        <w:t>30.9362</w:t>
      </w:r>
      <w:r>
        <w:rPr>
          <w:rFonts w:hint="default" w:ascii="Times New Roman" w:hAnsi="Times New Roman" w:eastAsia="仿宋" w:cs="Times New Roman"/>
          <w:color w:val="333333"/>
          <w:spacing w:val="8"/>
          <w:sz w:val="32"/>
          <w:szCs w:val="32"/>
          <w:lang w:eastAsia="zh-CN"/>
        </w:rPr>
        <w:t>公顷，公益性用地占用地总面积</w:t>
      </w:r>
      <w:r>
        <w:rPr>
          <w:rFonts w:hint="eastAsia" w:ascii="Times New Roman" w:hAnsi="Times New Roman" w:eastAsia="仿宋" w:cs="Times New Roman"/>
          <w:color w:val="333333"/>
          <w:spacing w:val="8"/>
          <w:sz w:val="32"/>
          <w:szCs w:val="32"/>
          <w:lang w:val="en-US" w:eastAsia="zh-CN"/>
        </w:rPr>
        <w:t>41</w:t>
      </w:r>
      <w:r>
        <w:rPr>
          <w:rFonts w:hint="default" w:ascii="Times New Roman" w:hAnsi="Times New Roman" w:eastAsia="仿宋" w:cs="Times New Roman"/>
          <w:color w:val="333333"/>
          <w:spacing w:val="8"/>
          <w:sz w:val="32"/>
          <w:szCs w:val="32"/>
          <w:lang w:eastAsia="zh-CN"/>
        </w:rPr>
        <w:t>%；符合自然资源部《土地征收成片开发标准》（自然资规〔2023〕7号）公益性用地不低于40%的要求。</w:t>
      </w:r>
    </w:p>
    <w:p w14:paraId="1768D45E">
      <w:pPr>
        <w:pStyle w:val="37"/>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70" w:name="_Toc11207"/>
      <w:bookmarkStart w:id="71" w:name="_Toc26589"/>
      <w:r>
        <w:rPr>
          <w:rFonts w:hint="default" w:ascii="Times New Roman" w:hAnsi="Times New Roman" w:eastAsia="方正仿宋_GB18030" w:cs="Times New Roman"/>
          <w:sz w:val="32"/>
          <w:szCs w:val="32"/>
          <w:lang w:val="en-US" w:eastAsia="zh-CN"/>
        </w:rPr>
        <w:t>3.2.1改善区域民生条件</w:t>
      </w:r>
      <w:bookmarkEnd w:id="70"/>
      <w:bookmarkEnd w:id="71"/>
    </w:p>
    <w:p w14:paraId="4CC3981C">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近年来，随着</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社会经济水平的不断发展，投入大量资金积极改善社会公共服务设施的使用环境，提高人居环境质量，努力打造新型生态宜居城市。随着项目的逐步开发，在基础设施、公共设施及公益设施方面将全面开发优化，全新的区域规划，全新的空间布局，全新的建筑设施将极大地改善居民的民生条件。成片开发涉及的居民职业逐步转型，就业机会递增，改善</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本地居民的生活质量，促进区域经济的全面发展和社会的进步。</w:t>
      </w:r>
    </w:p>
    <w:p w14:paraId="469ABC1B">
      <w:pPr>
        <w:pStyle w:val="37"/>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72" w:name="_Toc2512"/>
      <w:bookmarkStart w:id="73" w:name="_Toc22878"/>
      <w:r>
        <w:rPr>
          <w:rFonts w:hint="default" w:ascii="Times New Roman" w:hAnsi="Times New Roman" w:eastAsia="方正仿宋_GB18030" w:cs="Times New Roman"/>
          <w:sz w:val="32"/>
          <w:szCs w:val="32"/>
          <w:lang w:val="en-US" w:eastAsia="zh-CN"/>
        </w:rPr>
        <w:t>3.2.2提升区域公益服务水平</w:t>
      </w:r>
      <w:bookmarkEnd w:id="72"/>
      <w:bookmarkEnd w:id="73"/>
    </w:p>
    <w:p w14:paraId="473EB242">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随着区域的开发，各项设施的逐步建设，特别是公益设施的建设完善，配套的公益服务团队将陆续进驻，现代化的设施设备，现代化的服务团队，现代化的服务意识，整体的服务水平将得到提升。</w:t>
      </w:r>
    </w:p>
    <w:p w14:paraId="633755A3">
      <w:pPr>
        <w:pStyle w:val="37"/>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74" w:name="_Toc5060"/>
      <w:bookmarkStart w:id="75" w:name="_Toc1491"/>
      <w:r>
        <w:rPr>
          <w:rFonts w:hint="default" w:ascii="Times New Roman" w:hAnsi="Times New Roman" w:eastAsia="方正仿宋_GB18030" w:cs="Times New Roman"/>
          <w:sz w:val="32"/>
          <w:szCs w:val="32"/>
          <w:lang w:val="en-US" w:eastAsia="zh-CN"/>
        </w:rPr>
        <w:t>3.2.3</w:t>
      </w:r>
      <w:r>
        <w:rPr>
          <w:rFonts w:hint="eastAsia" w:ascii="Times New Roman" w:eastAsia="方正仿宋_GB18030" w:cs="Times New Roman"/>
          <w:sz w:val="32"/>
          <w:szCs w:val="32"/>
          <w:lang w:val="en-US" w:eastAsia="zh-CN"/>
        </w:rPr>
        <w:t>完善全民健身环境</w:t>
      </w:r>
      <w:bookmarkEnd w:id="74"/>
      <w:bookmarkEnd w:id="75"/>
    </w:p>
    <w:p w14:paraId="2B2E94C3">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公园是县城的生态调节器，通过大规模植被覆盖，有效提升区域碳汇能力。以占地10公顷的中型公园为例，每年可吸收约2000吨二氧化碳，释放1500吨氧气，相当于为1.2万居民提供日常呼吸所需。其水体系统与植物群落协同作用，能拦截70%-80%的地表径流，缓解城市内涝压力，同时通过生物净化技术，改善局部水环境质量。此外，公园构建的生态廊道可连通城市破碎化生境，为鸟类、昆虫等生物提供迁徙与栖息空间，显著提升区域生物多样性。</w:t>
      </w:r>
    </w:p>
    <w:p w14:paraId="6E796857">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作为公共空间的核心载体，公园深度融入居民日常生活。清晨的太极广场、傍晚的广场舞队伍、周末的亲子活动，满足全龄段人群的休闲需求。据调查，公园建成后周边居民日均户外活动时长增加1.2小时，肥胖率、焦虑症发病率显著下降。同时，公园通过无障碍设施建设、特殊人群活动专区设置，保障不同群体平等享受公共资源，增强社会包容性。定期举办的公益讲座、非遗展演等文化活动，更成为凝聚社区共识、培育市民认同感的重要平台。</w:t>
      </w:r>
    </w:p>
    <w:p w14:paraId="716F30CC">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p>
    <w:p w14:paraId="2F903975">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sectPr>
          <w:pgSz w:w="11906" w:h="16838"/>
          <w:pgMar w:top="1440" w:right="1587" w:bottom="1440" w:left="158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5B096705">
      <w:pPr>
        <w:pStyle w:val="2"/>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黑体" w:cs="Times New Roman"/>
          <w:sz w:val="32"/>
          <w:szCs w:val="32"/>
        </w:rPr>
      </w:pPr>
      <w:bookmarkStart w:id="76" w:name="_Toc14131"/>
      <w:bookmarkStart w:id="77" w:name="_Toc9969"/>
      <w:r>
        <w:rPr>
          <w:rFonts w:hint="default" w:ascii="Times New Roman" w:hAnsi="Times New Roman" w:eastAsia="黑体" w:cs="Times New Roman"/>
          <w:sz w:val="32"/>
          <w:szCs w:val="32"/>
        </w:rPr>
        <w:t>4.选址分析</w:t>
      </w:r>
      <w:bookmarkEnd w:id="76"/>
      <w:bookmarkEnd w:id="77"/>
    </w:p>
    <w:p w14:paraId="37514774">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78" w:name="_Toc5878"/>
      <w:bookmarkStart w:id="79" w:name="_Toc15761"/>
      <w:r>
        <w:rPr>
          <w:rFonts w:hint="default" w:ascii="Times New Roman" w:hAnsi="Times New Roman" w:eastAsia="方正楷体_GB2312" w:cs="Times New Roman"/>
        </w:rPr>
        <w:t>4.1项目区概况</w:t>
      </w:r>
      <w:bookmarkEnd w:id="78"/>
      <w:bookmarkEnd w:id="79"/>
    </w:p>
    <w:p w14:paraId="0FFDA154">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本次成片开发在</w:t>
      </w:r>
      <w:r>
        <w:rPr>
          <w:rFonts w:hint="eastAsia" w:ascii="Times New Roman" w:hAnsi="Times New Roman" w:eastAsia="仿宋" w:cs="Times New Roman"/>
          <w:color w:val="333333"/>
          <w:spacing w:val="8"/>
          <w:sz w:val="32"/>
          <w:szCs w:val="32"/>
          <w:lang w:val="en-US" w:eastAsia="zh-CN"/>
        </w:rPr>
        <w:t>鸡东</w:t>
      </w:r>
      <w:r>
        <w:rPr>
          <w:rFonts w:hint="default" w:ascii="Times New Roman" w:hAnsi="Times New Roman" w:eastAsia="仿宋" w:cs="Times New Roman"/>
          <w:color w:val="333333"/>
          <w:spacing w:val="8"/>
          <w:sz w:val="32"/>
          <w:szCs w:val="32"/>
          <w:lang w:eastAsia="zh-CN"/>
        </w:rPr>
        <w:t>镇和</w:t>
      </w:r>
      <w:r>
        <w:rPr>
          <w:rFonts w:hint="eastAsia" w:ascii="Times New Roman" w:hAnsi="Times New Roman" w:eastAsia="仿宋" w:cs="Times New Roman"/>
          <w:color w:val="333333"/>
          <w:spacing w:val="8"/>
          <w:sz w:val="32"/>
          <w:szCs w:val="32"/>
          <w:lang w:val="en-US" w:eastAsia="zh-CN"/>
        </w:rPr>
        <w:t>永安镇</w:t>
      </w:r>
      <w:r>
        <w:rPr>
          <w:rFonts w:hint="default" w:ascii="Times New Roman" w:hAnsi="Times New Roman" w:eastAsia="仿宋" w:cs="Times New Roman"/>
          <w:color w:val="333333"/>
          <w:spacing w:val="8"/>
          <w:sz w:val="32"/>
          <w:szCs w:val="32"/>
          <w:lang w:eastAsia="zh-CN"/>
        </w:rPr>
        <w:t>内，是</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2025年度土地征收成片开发项目，</w:t>
      </w:r>
      <w:r>
        <w:rPr>
          <w:rFonts w:hint="default" w:ascii="Times New Roman" w:hAnsi="Times New Roman" w:eastAsia="仿宋" w:cs="Times New Roman"/>
          <w:color w:val="333333"/>
          <w:spacing w:val="8"/>
          <w:sz w:val="32"/>
          <w:szCs w:val="32"/>
          <w:highlight w:val="none"/>
          <w:lang w:eastAsia="zh-CN"/>
        </w:rPr>
        <w:t>项目位于</w:t>
      </w:r>
      <w:r>
        <w:rPr>
          <w:rFonts w:hint="eastAsia" w:ascii="Times New Roman" w:hAnsi="Times New Roman" w:eastAsia="仿宋" w:cs="Times New Roman"/>
          <w:color w:val="333333"/>
          <w:spacing w:val="8"/>
          <w:sz w:val="32"/>
          <w:szCs w:val="32"/>
          <w:highlight w:val="none"/>
          <w:lang w:val="en-US" w:eastAsia="zh-CN"/>
        </w:rPr>
        <w:t>鸡东</w:t>
      </w:r>
      <w:r>
        <w:rPr>
          <w:rFonts w:hint="default" w:ascii="Times New Roman" w:hAnsi="Times New Roman" w:eastAsia="仿宋" w:cs="Times New Roman"/>
          <w:color w:val="333333"/>
          <w:spacing w:val="8"/>
          <w:sz w:val="32"/>
          <w:szCs w:val="32"/>
          <w:highlight w:val="none"/>
          <w:lang w:eastAsia="zh-CN"/>
        </w:rPr>
        <w:t>镇（</w:t>
      </w:r>
      <w:r>
        <w:rPr>
          <w:rFonts w:hint="eastAsia" w:ascii="Times New Roman" w:hAnsi="Times New Roman" w:eastAsia="仿宋" w:cs="Times New Roman"/>
          <w:color w:val="333333"/>
          <w:spacing w:val="8"/>
          <w:sz w:val="32"/>
          <w:szCs w:val="32"/>
          <w:highlight w:val="none"/>
          <w:lang w:val="zh-CN" w:eastAsia="zh-CN"/>
        </w:rPr>
        <w:t>22.0890</w:t>
      </w:r>
      <w:r>
        <w:rPr>
          <w:rFonts w:hint="default" w:ascii="Times New Roman" w:hAnsi="Times New Roman" w:eastAsia="仿宋" w:cs="Times New Roman"/>
          <w:color w:val="333333"/>
          <w:spacing w:val="8"/>
          <w:sz w:val="32"/>
          <w:szCs w:val="32"/>
          <w:highlight w:val="none"/>
          <w:lang w:eastAsia="zh-CN"/>
        </w:rPr>
        <w:t>公顷）</w:t>
      </w:r>
      <w:r>
        <w:rPr>
          <w:rFonts w:hint="eastAsia" w:ascii="Times New Roman" w:hAnsi="Times New Roman" w:eastAsia="仿宋" w:cs="Times New Roman"/>
          <w:color w:val="333333"/>
          <w:spacing w:val="8"/>
          <w:sz w:val="32"/>
          <w:szCs w:val="32"/>
          <w:highlight w:val="none"/>
          <w:lang w:val="en-US" w:eastAsia="zh-CN"/>
        </w:rPr>
        <w:t>和永安</w:t>
      </w:r>
      <w:r>
        <w:rPr>
          <w:rFonts w:hint="default" w:ascii="Times New Roman" w:hAnsi="Times New Roman" w:eastAsia="仿宋" w:cs="Times New Roman"/>
          <w:color w:val="333333"/>
          <w:spacing w:val="8"/>
          <w:sz w:val="32"/>
          <w:szCs w:val="32"/>
          <w:highlight w:val="none"/>
          <w:lang w:eastAsia="zh-CN"/>
        </w:rPr>
        <w:t>镇（53.3717公顷）。项目进行多方案比选，不占用</w:t>
      </w:r>
      <w:r>
        <w:rPr>
          <w:rFonts w:hint="default" w:ascii="Times New Roman" w:hAnsi="Times New Roman" w:eastAsia="仿宋" w:cs="Times New Roman"/>
          <w:color w:val="333333"/>
          <w:spacing w:val="8"/>
          <w:sz w:val="32"/>
          <w:szCs w:val="32"/>
          <w:lang w:eastAsia="zh-CN"/>
        </w:rPr>
        <w:t>永久基本农田，能满足近期建设需求。选址相较其他区域，体现唯一性和必要性。</w:t>
      </w:r>
    </w:p>
    <w:p w14:paraId="01C6BB06">
      <w:pPr>
        <w:pStyle w:val="37"/>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80" w:name="_Toc16284"/>
      <w:bookmarkStart w:id="81" w:name="_Toc8894"/>
      <w:bookmarkStart w:id="82" w:name="_Toc14595"/>
      <w:bookmarkStart w:id="83" w:name="_Toc12204"/>
      <w:bookmarkStart w:id="84" w:name="_Toc882"/>
      <w:r>
        <w:rPr>
          <w:rFonts w:hint="default" w:ascii="Times New Roman" w:hAnsi="Times New Roman" w:eastAsia="方正仿宋_GB18030" w:cs="Times New Roman"/>
          <w:sz w:val="32"/>
          <w:szCs w:val="32"/>
          <w:lang w:val="en-US" w:eastAsia="zh-CN"/>
        </w:rPr>
        <w:t>4.1.1</w:t>
      </w:r>
      <w:bookmarkEnd w:id="80"/>
      <w:bookmarkEnd w:id="81"/>
      <w:bookmarkEnd w:id="82"/>
      <w:r>
        <w:rPr>
          <w:rFonts w:hint="eastAsia" w:ascii="Times New Roman" w:eastAsia="方正仿宋_GB18030" w:cs="Times New Roman"/>
          <w:sz w:val="32"/>
          <w:szCs w:val="32"/>
          <w:lang w:val="en-US" w:eastAsia="zh-CN"/>
        </w:rPr>
        <w:t>鸡东</w:t>
      </w:r>
      <w:r>
        <w:rPr>
          <w:rFonts w:hint="default" w:ascii="Times New Roman" w:hAnsi="Times New Roman" w:eastAsia="方正仿宋_GB18030" w:cs="Times New Roman"/>
          <w:sz w:val="32"/>
          <w:szCs w:val="32"/>
          <w:lang w:val="en-US" w:eastAsia="zh-CN"/>
        </w:rPr>
        <w:t>镇</w:t>
      </w:r>
      <w:bookmarkEnd w:id="83"/>
      <w:bookmarkEnd w:id="84"/>
    </w:p>
    <w:p w14:paraId="6F06BD71">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是全县政治、经济、文化、科技中心，地处鸡东县西部，东与鸡林朝鲜族乡相邻南与平阳镇、永和镇接壤，西与鸡西市鸡冠区相连，北与哈达镇隔穆棱河相望。行政区域面积131.72平方千米。辖5个社区：镇中社区、前进社区、北华社区、东风社区、城南社区，15个行政村：石河北村、银峰村、银河村、东村、红胜村、荣华村、保中村、得胜村、勇鲜村、光荣村、古山子村、明俊村、张家村、新峰村、鸡东村。</w:t>
      </w:r>
    </w:p>
    <w:p w14:paraId="2A4644A0">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eastAsia" w:ascii="Times New Roman" w:hAnsi="Times New Roman" w:eastAsia="仿宋" w:cs="Times New Roman"/>
          <w:color w:val="333333"/>
          <w:spacing w:val="8"/>
          <w:sz w:val="32"/>
          <w:szCs w:val="32"/>
          <w:lang w:val="en-US" w:eastAsia="zh-CN"/>
        </w:rPr>
        <w:t>地</w:t>
      </w:r>
      <w:r>
        <w:rPr>
          <w:rFonts w:hint="default" w:ascii="Times New Roman" w:hAnsi="Times New Roman" w:eastAsia="仿宋" w:cs="Times New Roman"/>
          <w:color w:val="333333"/>
          <w:spacing w:val="8"/>
          <w:sz w:val="32"/>
          <w:szCs w:val="32"/>
          <w:lang w:eastAsia="zh-CN"/>
        </w:rPr>
        <w:t>形地貌</w:t>
      </w:r>
      <w:r>
        <w:rPr>
          <w:rFonts w:hint="eastAsia" w:ascii="Times New Roman" w:hAnsi="Times New Roman" w:eastAsia="仿宋" w:cs="Times New Roman"/>
          <w:color w:val="333333"/>
          <w:spacing w:val="8"/>
          <w:sz w:val="32"/>
          <w:szCs w:val="32"/>
          <w:lang w:eastAsia="zh-CN"/>
        </w:rPr>
        <w:t>：</w:t>
      </w:r>
      <w:r>
        <w:rPr>
          <w:rFonts w:hint="default" w:ascii="Times New Roman" w:hAnsi="Times New Roman" w:eastAsia="仿宋" w:cs="Times New Roman"/>
          <w:color w:val="333333"/>
          <w:spacing w:val="8"/>
          <w:sz w:val="32"/>
          <w:szCs w:val="32"/>
          <w:lang w:eastAsia="zh-CN"/>
        </w:rPr>
        <w:t>鸡东镇地处半山区及穆棱河河谷开阔地带，地势南高北低。地形分为丘陵地带，主要山脉有大顶子山，马鞍山，东山。</w:t>
      </w:r>
    </w:p>
    <w:p w14:paraId="36C05A54">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气候</w:t>
      </w:r>
      <w:r>
        <w:rPr>
          <w:rFonts w:hint="eastAsia" w:ascii="Times New Roman" w:hAnsi="Times New Roman" w:eastAsia="仿宋" w:cs="Times New Roman"/>
          <w:color w:val="333333"/>
          <w:spacing w:val="8"/>
          <w:sz w:val="32"/>
          <w:szCs w:val="32"/>
          <w:lang w:eastAsia="zh-CN"/>
        </w:rPr>
        <w:t>：</w:t>
      </w:r>
      <w:r>
        <w:rPr>
          <w:rFonts w:hint="default" w:ascii="Times New Roman" w:hAnsi="Times New Roman" w:eastAsia="仿宋" w:cs="Times New Roman"/>
          <w:color w:val="333333"/>
          <w:spacing w:val="8"/>
          <w:sz w:val="32"/>
          <w:szCs w:val="32"/>
          <w:lang w:eastAsia="zh-CN"/>
        </w:rPr>
        <w:t>鸡东镇属温带季风气候，其特点是冬季在极地大陆气团控制下，气候寒冷、干燥；夏季受副热带海洋气团影响，降水集中，气温较高、湿润。春秋两季，因冬夏季风交替，气候多变，春季风大、降水较少，易发生干旱；秋季降温急剧，常有霜冻。</w:t>
      </w:r>
    </w:p>
    <w:p w14:paraId="5B16BF91">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水文</w:t>
      </w:r>
      <w:r>
        <w:rPr>
          <w:rFonts w:hint="eastAsia" w:ascii="Times New Roman" w:hAnsi="Times New Roman" w:eastAsia="仿宋" w:cs="Times New Roman"/>
          <w:color w:val="333333"/>
          <w:spacing w:val="8"/>
          <w:sz w:val="32"/>
          <w:szCs w:val="32"/>
          <w:lang w:eastAsia="zh-CN"/>
        </w:rPr>
        <w:t>：</w:t>
      </w:r>
      <w:r>
        <w:rPr>
          <w:rFonts w:hint="default" w:ascii="Times New Roman" w:hAnsi="Times New Roman" w:eastAsia="仿宋" w:cs="Times New Roman"/>
          <w:color w:val="333333"/>
          <w:spacing w:val="8"/>
          <w:sz w:val="32"/>
          <w:szCs w:val="32"/>
          <w:lang w:eastAsia="zh-CN"/>
        </w:rPr>
        <w:t>鸡东镇境内河道属穆棱河水系，有穆棱河、大石河、黄泥河等3条流域，其中穆棱河流域面积45平方千米，占30%；大石头河域面积53.8平方千米，占10%；黄泥河流域面积231.7平方千米，占30%。主要河道有二级河穆棱河1条，总长6.4千米；三级河2条，总长9千米；四级河2条，总长3千米。河流总长度18.4千米。境内最大的河流为穆棱河，从鸡西市至鸡林乡流经境内鸡东镇，长14千米，流域面积45平方千米，年平均流量6.3立方米/秒。</w:t>
      </w:r>
    </w:p>
    <w:p w14:paraId="58E2F53D">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自然灾害</w:t>
      </w:r>
      <w:r>
        <w:rPr>
          <w:rFonts w:hint="eastAsia" w:ascii="Times New Roman" w:hAnsi="Times New Roman" w:eastAsia="仿宋" w:cs="Times New Roman"/>
          <w:color w:val="333333"/>
          <w:spacing w:val="8"/>
          <w:sz w:val="32"/>
          <w:szCs w:val="32"/>
          <w:lang w:eastAsia="zh-CN"/>
        </w:rPr>
        <w:t>：</w:t>
      </w:r>
      <w:r>
        <w:rPr>
          <w:rFonts w:hint="default" w:ascii="Times New Roman" w:hAnsi="Times New Roman" w:eastAsia="仿宋" w:cs="Times New Roman"/>
          <w:color w:val="333333"/>
          <w:spacing w:val="8"/>
          <w:sz w:val="32"/>
          <w:szCs w:val="32"/>
          <w:lang w:eastAsia="zh-CN"/>
        </w:rPr>
        <w:t>鸡东镇主要自然灾害有霜冻、干旱、冰雹、洪涝等。冰雹灾害年平均发生0.5次，主要发生在6—8月，最严重的一次发生在2004年6月28日。</w:t>
      </w:r>
    </w:p>
    <w:p w14:paraId="2EB2029A">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自然资源</w:t>
      </w:r>
      <w:r>
        <w:rPr>
          <w:rFonts w:hint="eastAsia" w:ascii="Times New Roman" w:hAnsi="Times New Roman" w:eastAsia="仿宋" w:cs="Times New Roman"/>
          <w:color w:val="333333"/>
          <w:spacing w:val="8"/>
          <w:sz w:val="32"/>
          <w:szCs w:val="32"/>
          <w:lang w:eastAsia="zh-CN"/>
        </w:rPr>
        <w:t>：</w:t>
      </w:r>
      <w:r>
        <w:rPr>
          <w:rFonts w:hint="default" w:ascii="Times New Roman" w:hAnsi="Times New Roman" w:eastAsia="仿宋" w:cs="Times New Roman"/>
          <w:color w:val="333333"/>
          <w:spacing w:val="8"/>
          <w:sz w:val="32"/>
          <w:szCs w:val="32"/>
          <w:lang w:eastAsia="zh-CN"/>
        </w:rPr>
        <w:t>鸡东镇境内已探明地下矿藏有煤等。其中煤炭储量1.5亿吨，地质储量1.4亿吨，已经开发的有鸡东煤矿，位于大顶山，矿区面积28平方千米，地质储量0.9亿吨，可采量0.8亿吨，年产量90万吨。其他自然资源有野生动物种类10多种，主要有野鸡、飞龙、狐狸、熊、野猪、狍子、大雁、蛇、野鸭子。药用植物有人参、猴头、三七。特产有松子、榛子、蘑菇、木耳、蕨菜。</w:t>
      </w:r>
      <w:bookmarkStart w:id="85" w:name="_Toc10976"/>
      <w:bookmarkStart w:id="86" w:name="_Toc14483"/>
      <w:bookmarkStart w:id="87" w:name="_Toc23175"/>
    </w:p>
    <w:p w14:paraId="43DB0B6A">
      <w:pPr>
        <w:pStyle w:val="37"/>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88" w:name="_Toc15096"/>
      <w:bookmarkStart w:id="89" w:name="_Toc28027"/>
      <w:r>
        <w:rPr>
          <w:rFonts w:hint="default" w:ascii="Times New Roman" w:hAnsi="Times New Roman" w:eastAsia="方正仿宋_GB18030" w:cs="Times New Roman"/>
          <w:sz w:val="32"/>
          <w:szCs w:val="32"/>
          <w:lang w:val="en-US" w:eastAsia="zh-CN"/>
        </w:rPr>
        <w:t>4.1.2</w:t>
      </w:r>
      <w:bookmarkEnd w:id="85"/>
      <w:bookmarkEnd w:id="86"/>
      <w:bookmarkEnd w:id="87"/>
      <w:r>
        <w:rPr>
          <w:rFonts w:hint="default" w:ascii="Times New Roman" w:hAnsi="Times New Roman" w:eastAsia="方正仿宋_GB18030" w:cs="Times New Roman"/>
          <w:sz w:val="32"/>
          <w:szCs w:val="32"/>
          <w:lang w:val="en-US" w:eastAsia="zh-CN"/>
        </w:rPr>
        <w:t>永安镇</w:t>
      </w:r>
      <w:bookmarkEnd w:id="88"/>
      <w:bookmarkEnd w:id="89"/>
    </w:p>
    <w:p w14:paraId="2781FC6C">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永安镇，黑龙江省鸡西市鸡东县下辖镇，地处鸡东县东北部，东与密山市太平乡接壤，南与明德乡相邻，西与东海镇相连，北与八五一零农场毗邻。行政区域面积132.93平方千米</w:t>
      </w:r>
      <w:r>
        <w:rPr>
          <w:rFonts w:hint="eastAsia" w:ascii="Times New Roman" w:hAnsi="Times New Roman" w:eastAsia="仿宋" w:cs="Times New Roman"/>
          <w:color w:val="333333"/>
          <w:spacing w:val="8"/>
          <w:sz w:val="32"/>
          <w:szCs w:val="32"/>
          <w:lang w:eastAsia="zh-CN"/>
        </w:rPr>
        <w:t>。，永安镇下辖2个社区：永安社区、永丰社区，下辖11个行政村：永安村、永平村、永东村、永红村、永乐村、永丰村、永宁村、永生村、永丽村、永新村、永政村。</w:t>
      </w:r>
    </w:p>
    <w:p w14:paraId="1B0C9D0C">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地形地貌</w:t>
      </w:r>
      <w:r>
        <w:rPr>
          <w:rFonts w:hint="eastAsia" w:ascii="Times New Roman" w:hAnsi="Times New Roman" w:eastAsia="仿宋" w:cs="Times New Roman"/>
          <w:color w:val="333333"/>
          <w:spacing w:val="8"/>
          <w:sz w:val="32"/>
          <w:szCs w:val="32"/>
          <w:lang w:eastAsia="zh-CN"/>
        </w:rPr>
        <w:t>：</w:t>
      </w:r>
      <w:r>
        <w:rPr>
          <w:rFonts w:hint="default" w:ascii="Times New Roman" w:hAnsi="Times New Roman" w:eastAsia="仿宋" w:cs="Times New Roman"/>
          <w:color w:val="333333"/>
          <w:spacing w:val="8"/>
          <w:sz w:val="32"/>
          <w:szCs w:val="32"/>
          <w:lang w:eastAsia="zh-CN"/>
        </w:rPr>
        <w:t>永安镇地处裴德里河冲积平原，地势西高东低，北高南低。地形以丘陵为主。</w:t>
      </w:r>
    </w:p>
    <w:p w14:paraId="5E13B0AA">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气候</w:t>
      </w:r>
      <w:r>
        <w:rPr>
          <w:rFonts w:hint="eastAsia" w:ascii="Times New Roman" w:hAnsi="Times New Roman" w:eastAsia="仿宋" w:cs="Times New Roman"/>
          <w:color w:val="333333"/>
          <w:spacing w:val="8"/>
          <w:sz w:val="32"/>
          <w:szCs w:val="32"/>
          <w:lang w:eastAsia="zh-CN"/>
        </w:rPr>
        <w:t>：</w:t>
      </w:r>
      <w:r>
        <w:rPr>
          <w:rFonts w:hint="default" w:ascii="Times New Roman" w:hAnsi="Times New Roman" w:eastAsia="仿宋" w:cs="Times New Roman"/>
          <w:color w:val="333333"/>
          <w:spacing w:val="8"/>
          <w:sz w:val="32"/>
          <w:szCs w:val="32"/>
          <w:lang w:eastAsia="zh-CN"/>
        </w:rPr>
        <w:t>永安镇属寒温带季风气候，其特点是春天温和，雨量充沛；夏季炎热；秋季凉爽。多年平均气温4.2℃，1月平均气温-18℃，极端最低气温-28℃；7月平均气温25℃，极端最高气温36℃。年平均日照时数2226小时。年平均降水量427.9—542.5毫米。极端年最大雨量52毫米（2013年），极端年最少雨量6.8毫米（2012年）。降雨集中在每年5—9月，7月最多。</w:t>
      </w:r>
    </w:p>
    <w:p w14:paraId="0CAA6E98">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自然灾害</w:t>
      </w:r>
      <w:r>
        <w:rPr>
          <w:rFonts w:hint="eastAsia" w:ascii="Times New Roman" w:hAnsi="Times New Roman" w:eastAsia="仿宋" w:cs="Times New Roman"/>
          <w:color w:val="333333"/>
          <w:spacing w:val="8"/>
          <w:sz w:val="32"/>
          <w:szCs w:val="32"/>
          <w:lang w:eastAsia="zh-CN"/>
        </w:rPr>
        <w:t>：</w:t>
      </w:r>
      <w:r>
        <w:rPr>
          <w:rFonts w:hint="default" w:ascii="Times New Roman" w:hAnsi="Times New Roman" w:eastAsia="仿宋" w:cs="Times New Roman"/>
          <w:color w:val="333333"/>
          <w:spacing w:val="8"/>
          <w:sz w:val="32"/>
          <w:szCs w:val="32"/>
          <w:lang w:eastAsia="zh-CN"/>
        </w:rPr>
        <w:t>永安镇主要自然灾害有冰雹、洪涝等。锅盔山以北地区易发冰雹灾害，泥沙流灾害逢大暴雨常出现，穆棱河流经区域洪涝灾害时有发生。</w:t>
      </w:r>
    </w:p>
    <w:p w14:paraId="4C3333B4">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自然资源</w:t>
      </w:r>
      <w:r>
        <w:rPr>
          <w:rFonts w:hint="eastAsia" w:ascii="Times New Roman" w:hAnsi="Times New Roman" w:eastAsia="仿宋" w:cs="Times New Roman"/>
          <w:color w:val="333333"/>
          <w:spacing w:val="8"/>
          <w:sz w:val="32"/>
          <w:szCs w:val="32"/>
          <w:lang w:eastAsia="zh-CN"/>
        </w:rPr>
        <w:t>：</w:t>
      </w:r>
      <w:r>
        <w:rPr>
          <w:rFonts w:hint="default" w:ascii="Times New Roman" w:hAnsi="Times New Roman" w:eastAsia="仿宋" w:cs="Times New Roman"/>
          <w:color w:val="333333"/>
          <w:spacing w:val="8"/>
          <w:sz w:val="32"/>
          <w:szCs w:val="32"/>
          <w:lang w:eastAsia="zh-CN"/>
        </w:rPr>
        <w:t>永安镇境内已探明地下矿藏有煤、油页岩、萤石、白泥、天然气等。其中煤炭储量1亿吨，地质储量2亿吨，已经开发的有永安矿，位于永安镇永丰村北部，矿区面积3千平方千米，地质储量0.8亿吨，可采量0.8亿吨，年产量200万吨。其他自然资源有野生动物数十种，主要有野鸡、野猪、狐狸、狼、狍子、鹿、熊等。药用植物有人参、黄芪、刺五加等，特产有木耳、蘑菇、榛子等。</w:t>
      </w:r>
    </w:p>
    <w:p w14:paraId="3645AE2A">
      <w:pPr>
        <w:pStyle w:val="27"/>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b/>
          <w:sz w:val="21"/>
          <w:szCs w:val="21"/>
          <w:lang w:eastAsia="zh-CN"/>
        </w:rPr>
      </w:pPr>
      <w:r>
        <w:rPr>
          <w:rFonts w:hint="eastAsia" w:ascii="Times New Roman" w:hAnsi="Times New Roman" w:eastAsia="黑体" w:cs="Times New Roman"/>
          <w:b/>
          <w:sz w:val="21"/>
          <w:szCs w:val="21"/>
          <w:lang w:eastAsia="zh-CN"/>
        </w:rPr>
        <w:drawing>
          <wp:inline distT="0" distB="0" distL="114300" distR="114300">
            <wp:extent cx="5535295" cy="7822565"/>
            <wp:effectExtent l="0" t="0" r="8255" b="6985"/>
            <wp:docPr id="4" name="图片 4" descr="G:/28、鸡东成片开发/鸡东县成片开发/02数据处理/02鸡东县成片开发位置示意图.jpg02鸡东县成片开发位置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28、鸡东成片开发/鸡东县成片开发/02数据处理/02鸡东县成片开发位置示意图.jpg02鸡东县成片开发位置示意图"/>
                    <pic:cNvPicPr>
                      <a:picLocks noChangeAspect="1"/>
                    </pic:cNvPicPr>
                  </pic:nvPicPr>
                  <pic:blipFill>
                    <a:blip r:embed="rId6"/>
                    <a:srcRect l="4" r="4"/>
                    <a:stretch>
                      <a:fillRect/>
                    </a:stretch>
                  </pic:blipFill>
                  <pic:spPr>
                    <a:xfrm>
                      <a:off x="0" y="0"/>
                      <a:ext cx="5535295" cy="7822565"/>
                    </a:xfrm>
                    <a:prstGeom prst="rect">
                      <a:avLst/>
                    </a:prstGeom>
                  </pic:spPr>
                </pic:pic>
              </a:graphicData>
            </a:graphic>
          </wp:inline>
        </w:drawing>
      </w:r>
    </w:p>
    <w:p w14:paraId="0B45AC92">
      <w:pPr>
        <w:rPr>
          <w:rFonts w:hint="default" w:ascii="Times New Roman" w:hAnsi="Times New Roman" w:eastAsia="方正楷体_GB2312" w:cs="Times New Roman"/>
        </w:rPr>
      </w:pPr>
      <w:r>
        <w:rPr>
          <w:rFonts w:hint="default" w:ascii="Times New Roman" w:hAnsi="Times New Roman" w:eastAsia="方正楷体_GB2312" w:cs="Times New Roman"/>
        </w:rPr>
        <w:br w:type="page"/>
      </w:r>
    </w:p>
    <w:p w14:paraId="43BF59E7">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90" w:name="_Toc12687"/>
      <w:bookmarkStart w:id="91" w:name="_Toc24699"/>
      <w:r>
        <w:rPr>
          <w:rFonts w:hint="default" w:ascii="Times New Roman" w:hAnsi="Times New Roman" w:eastAsia="方正楷体_GB2312" w:cs="Times New Roman"/>
        </w:rPr>
        <w:t>4.2地形地貌及地质条件</w:t>
      </w:r>
      <w:bookmarkEnd w:id="90"/>
      <w:bookmarkEnd w:id="91"/>
    </w:p>
    <w:p w14:paraId="765A2259">
      <w:pPr>
        <w:pStyle w:val="37"/>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92" w:name="_Toc32572"/>
      <w:bookmarkStart w:id="93" w:name="_Toc688"/>
      <w:r>
        <w:rPr>
          <w:rFonts w:hint="default" w:ascii="Times New Roman" w:hAnsi="Times New Roman" w:eastAsia="方正仿宋_GB18030" w:cs="Times New Roman"/>
          <w:sz w:val="32"/>
          <w:szCs w:val="32"/>
          <w:lang w:val="en-US" w:eastAsia="zh-CN"/>
        </w:rPr>
        <w:t>4.2.1地形地貌</w:t>
      </w:r>
      <w:bookmarkEnd w:id="92"/>
      <w:bookmarkEnd w:id="93"/>
    </w:p>
    <w:p w14:paraId="09CFE4EB">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Times New Roman" w:hAnsi="Times New Roman" w:eastAsia="仿宋" w:cs="Times New Roman"/>
          <w:color w:val="333333"/>
          <w:spacing w:val="8"/>
          <w:sz w:val="32"/>
          <w:szCs w:val="32"/>
          <w:lang w:eastAsia="zh-CN"/>
        </w:rPr>
      </w:pPr>
      <w:r>
        <w:rPr>
          <w:rFonts w:hint="eastAsia" w:ascii="Times New Roman" w:hAnsi="Times New Roman" w:eastAsia="仿宋" w:cs="Times New Roman"/>
          <w:color w:val="333333"/>
          <w:spacing w:val="8"/>
          <w:sz w:val="32"/>
          <w:szCs w:val="32"/>
          <w:lang w:eastAsia="zh-CN"/>
        </w:rPr>
        <w:t>鸡东县位于三江平原东南部，地处完达山，老爷岭的相交处。完达山余脉由东向西环抱着本县北部，老爷岭余脉由西向东横卧于本县南部，穆棱河至西向东贯穿本县中部，南北山环抱着开阔的穆棱河冲积平原，构成了鸡东县南北高中间低的地势。平原区和山区之间坡岗地相接，形成了低山丘陵，丘陵漫岗和冲积平原三种地貌类型。</w:t>
      </w:r>
    </w:p>
    <w:p w14:paraId="4BBD3443">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Times New Roman" w:hAnsi="Times New Roman" w:eastAsia="仿宋" w:cs="Times New Roman"/>
          <w:color w:val="333333"/>
          <w:spacing w:val="8"/>
          <w:sz w:val="32"/>
          <w:szCs w:val="32"/>
          <w:lang w:eastAsia="zh-CN"/>
        </w:rPr>
      </w:pPr>
      <w:r>
        <w:rPr>
          <w:rFonts w:hint="eastAsia" w:ascii="Times New Roman" w:hAnsi="Times New Roman" w:eastAsia="仿宋" w:cs="Times New Roman"/>
          <w:color w:val="333333"/>
          <w:spacing w:val="8"/>
          <w:sz w:val="32"/>
          <w:szCs w:val="32"/>
          <w:lang w:eastAsia="zh-CN"/>
        </w:rPr>
        <w:t>本县南、北部属于低山丘陵区，其面积占总面积53.6%，南部最高峰西大翁海拔882米，北部最高峰双牙山海拔高763.3米，平均海拔高约300—400米。</w:t>
      </w:r>
    </w:p>
    <w:p w14:paraId="41C3310A">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Times New Roman" w:hAnsi="Times New Roman" w:eastAsia="仿宋" w:cs="Times New Roman"/>
          <w:color w:val="333333"/>
          <w:spacing w:val="8"/>
          <w:sz w:val="32"/>
          <w:szCs w:val="32"/>
          <w:lang w:eastAsia="zh-CN"/>
        </w:rPr>
      </w:pPr>
      <w:r>
        <w:rPr>
          <w:rFonts w:hint="eastAsia" w:ascii="Times New Roman" w:hAnsi="Times New Roman" w:eastAsia="仿宋" w:cs="Times New Roman"/>
          <w:color w:val="333333"/>
          <w:spacing w:val="8"/>
          <w:sz w:val="32"/>
          <w:szCs w:val="32"/>
          <w:lang w:eastAsia="zh-CN"/>
        </w:rPr>
        <w:t>本县南北部属于丘陵漫岗低山向穆陵河冲积平原过渡地带，其面积占总面积39.4%地势较平缓长，起伏较小，沟宽岗平，平均海拔高150—250米之间。</w:t>
      </w:r>
    </w:p>
    <w:p w14:paraId="0701101B">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Times New Roman" w:hAnsi="Times New Roman" w:eastAsia="仿宋" w:cs="Times New Roman"/>
          <w:color w:val="333333"/>
          <w:spacing w:val="8"/>
          <w:sz w:val="32"/>
          <w:szCs w:val="32"/>
          <w:lang w:eastAsia="zh-CN"/>
        </w:rPr>
      </w:pPr>
      <w:r>
        <w:rPr>
          <w:rFonts w:hint="eastAsia" w:ascii="Times New Roman" w:hAnsi="Times New Roman" w:eastAsia="仿宋" w:cs="Times New Roman"/>
          <w:color w:val="333333"/>
          <w:spacing w:val="8"/>
          <w:sz w:val="32"/>
          <w:szCs w:val="32"/>
          <w:lang w:eastAsia="zh-CN"/>
        </w:rPr>
        <w:t>冲积平原，位于穆陵河两岸海拔高143—179米，其面积占总面积7%，地势平坦开阔，呈缓缓向东倾斜状。</w:t>
      </w:r>
    </w:p>
    <w:p w14:paraId="66DB835D">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vi-VN" w:eastAsia="zh-CN"/>
        </w:rPr>
      </w:pPr>
      <w:r>
        <w:rPr>
          <w:rFonts w:hint="eastAsia" w:ascii="Times New Roman" w:hAnsi="Times New Roman" w:eastAsia="仿宋" w:cs="Times New Roman"/>
          <w:color w:val="333333"/>
          <w:spacing w:val="8"/>
          <w:sz w:val="32"/>
          <w:szCs w:val="32"/>
          <w:lang w:eastAsia="zh-CN"/>
        </w:rPr>
        <w:t>概括起来鸡东县地形地貌的特点是“七山二岗一平地”。</w:t>
      </w:r>
    </w:p>
    <w:p w14:paraId="27167B42">
      <w:pPr>
        <w:pStyle w:val="37"/>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94" w:name="_Toc10029"/>
      <w:bookmarkStart w:id="95" w:name="_Toc26884"/>
      <w:r>
        <w:rPr>
          <w:rFonts w:hint="default" w:ascii="Times New Roman" w:hAnsi="Times New Roman" w:eastAsia="方正仿宋_GB18030" w:cs="Times New Roman"/>
          <w:sz w:val="32"/>
          <w:szCs w:val="32"/>
          <w:lang w:val="en-US" w:eastAsia="zh-CN"/>
        </w:rPr>
        <w:t>4.2.2地质条件</w:t>
      </w:r>
      <w:bookmarkEnd w:id="94"/>
      <w:bookmarkEnd w:id="95"/>
    </w:p>
    <w:p w14:paraId="31B7BC95">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本次成片开发范围地势较平坦，地质较好，地层由上至下为：耕土层，粉质粘土层，粉土与细粉砂砾层，中砂层，基岩，持力层为中砂层。</w:t>
      </w:r>
    </w:p>
    <w:p w14:paraId="02566B4C">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96" w:name="_Toc8289"/>
      <w:bookmarkStart w:id="97" w:name="_Toc32676"/>
      <w:r>
        <w:rPr>
          <w:rFonts w:hint="default" w:ascii="Times New Roman" w:hAnsi="Times New Roman" w:eastAsia="方正楷体_GB2312" w:cs="Times New Roman"/>
        </w:rPr>
        <w:t>4.3基础设施条件</w:t>
      </w:r>
      <w:bookmarkEnd w:id="96"/>
      <w:bookmarkEnd w:id="97"/>
    </w:p>
    <w:p w14:paraId="301CBA70">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val="en-US" w:eastAsia="zh-CN"/>
        </w:rPr>
        <w:t>本次成片开发范围处于</w:t>
      </w:r>
      <w:r>
        <w:rPr>
          <w:rFonts w:hint="eastAsia" w:ascii="Times New Roman" w:hAnsi="Times New Roman" w:eastAsia="仿宋" w:cs="Times New Roman"/>
          <w:color w:val="333333"/>
          <w:spacing w:val="8"/>
          <w:sz w:val="32"/>
          <w:szCs w:val="32"/>
          <w:lang w:val="en-US" w:eastAsia="zh-CN"/>
        </w:rPr>
        <w:t>鸡东</w:t>
      </w:r>
      <w:r>
        <w:rPr>
          <w:rFonts w:hint="default" w:ascii="Times New Roman" w:hAnsi="Times New Roman" w:eastAsia="仿宋" w:cs="Times New Roman"/>
          <w:color w:val="333333"/>
          <w:spacing w:val="8"/>
          <w:sz w:val="32"/>
          <w:szCs w:val="32"/>
          <w:lang w:val="en-US" w:eastAsia="zh-CN"/>
        </w:rPr>
        <w:t>镇和</w:t>
      </w:r>
      <w:r>
        <w:rPr>
          <w:rFonts w:hint="eastAsia" w:ascii="Times New Roman" w:hAnsi="Times New Roman" w:eastAsia="仿宋" w:cs="Times New Roman"/>
          <w:color w:val="333333"/>
          <w:spacing w:val="8"/>
          <w:sz w:val="32"/>
          <w:szCs w:val="32"/>
          <w:lang w:val="en-US" w:eastAsia="zh-CN"/>
        </w:rPr>
        <w:t>永安镇</w:t>
      </w:r>
      <w:r>
        <w:rPr>
          <w:rFonts w:hint="default" w:ascii="Times New Roman" w:hAnsi="Times New Roman" w:eastAsia="仿宋" w:cs="Times New Roman"/>
          <w:color w:val="333333"/>
          <w:spacing w:val="8"/>
          <w:sz w:val="32"/>
          <w:szCs w:val="32"/>
          <w:lang w:val="en-US" w:eastAsia="zh-CN"/>
        </w:rPr>
        <w:t>。</w:t>
      </w:r>
    </w:p>
    <w:p w14:paraId="0441F4BC">
      <w:pPr>
        <w:pStyle w:val="37"/>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98" w:name="_Toc3488"/>
      <w:bookmarkStart w:id="99" w:name="_Toc13791"/>
      <w:r>
        <w:rPr>
          <w:rFonts w:hint="default" w:ascii="Times New Roman" w:hAnsi="Times New Roman" w:eastAsia="方正仿宋_GB18030" w:cs="Times New Roman"/>
          <w:sz w:val="32"/>
          <w:szCs w:val="32"/>
          <w:lang w:val="en-US" w:eastAsia="zh-CN"/>
        </w:rPr>
        <w:t>4.3.1交通条件</w:t>
      </w:r>
      <w:bookmarkEnd w:id="98"/>
      <w:bookmarkEnd w:id="99"/>
    </w:p>
    <w:p w14:paraId="76B8548A">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本次成片开发范围开发地块交通条件优越，</w:t>
      </w:r>
      <w:r>
        <w:rPr>
          <w:rFonts w:hint="default" w:ascii="Times New Roman" w:hAnsi="Times New Roman" w:eastAsia="仿宋" w:cs="Times New Roman"/>
          <w:color w:val="333333"/>
          <w:spacing w:val="8"/>
          <w:sz w:val="32"/>
          <w:szCs w:val="32"/>
          <w:lang w:val="en-US" w:eastAsia="zh-CN"/>
        </w:rPr>
        <w:t>鸡东镇境内有铁路林密线012至102段穿过，境内长10千米，为普轨国家级铁路，设鸡东县火车站1个站，通往东海镇；日均有12列客车停靠，年货运吞吐量317.6万吨。有县乡（镇）级公路1条，总长9.8千米。</w:t>
      </w:r>
      <w:r>
        <w:rPr>
          <w:rFonts w:hint="default" w:ascii="Times New Roman" w:hAnsi="Times New Roman" w:eastAsia="仿宋" w:cs="Times New Roman"/>
          <w:color w:val="333333"/>
          <w:spacing w:val="8"/>
          <w:sz w:val="32"/>
          <w:szCs w:val="32"/>
          <w:lang w:eastAsia="zh-CN"/>
        </w:rPr>
        <w:t>项目区目前均依靠这些现状道路连通外界。</w:t>
      </w:r>
    </w:p>
    <w:p w14:paraId="6B4E87A9">
      <w:pPr>
        <w:pStyle w:val="37"/>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100" w:name="_Toc13702"/>
      <w:bookmarkStart w:id="101" w:name="_Toc8710"/>
      <w:r>
        <w:rPr>
          <w:rFonts w:hint="default" w:ascii="Times New Roman" w:hAnsi="Times New Roman" w:eastAsia="方正仿宋_GB18030" w:cs="Times New Roman"/>
          <w:sz w:val="32"/>
          <w:szCs w:val="32"/>
          <w:lang w:val="en-US" w:eastAsia="zh-CN"/>
        </w:rPr>
        <w:t>4.3.2综合配套设施</w:t>
      </w:r>
      <w:bookmarkEnd w:id="100"/>
      <w:bookmarkEnd w:id="101"/>
    </w:p>
    <w:p w14:paraId="356E5172">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成片开发所在区域有</w:t>
      </w:r>
      <w:r>
        <w:rPr>
          <w:rFonts w:hint="eastAsia" w:ascii="Times New Roman" w:hAnsi="Times New Roman" w:eastAsia="仿宋" w:cs="Times New Roman"/>
          <w:color w:val="333333"/>
          <w:spacing w:val="8"/>
          <w:sz w:val="32"/>
          <w:szCs w:val="32"/>
          <w:lang w:eastAsia="zh-CN"/>
        </w:rPr>
        <w:t>鸡东县</w:t>
      </w:r>
      <w:r>
        <w:rPr>
          <w:rFonts w:hint="eastAsia" w:ascii="Times New Roman" w:hAnsi="Times New Roman" w:eastAsia="仿宋" w:cs="Times New Roman"/>
          <w:color w:val="333333"/>
          <w:spacing w:val="8"/>
          <w:sz w:val="32"/>
          <w:szCs w:val="32"/>
          <w:lang w:val="en-US" w:eastAsia="zh-CN"/>
        </w:rPr>
        <w:t>第一、第二、第三中</w:t>
      </w:r>
      <w:r>
        <w:rPr>
          <w:rFonts w:hint="default" w:ascii="Times New Roman" w:hAnsi="Times New Roman" w:eastAsia="仿宋" w:cs="Times New Roman"/>
          <w:color w:val="333333"/>
          <w:spacing w:val="8"/>
          <w:sz w:val="32"/>
          <w:szCs w:val="32"/>
          <w:lang w:eastAsia="zh-CN"/>
        </w:rPr>
        <w:t>学校，附近大型购物商场等综合配套设施，</w:t>
      </w:r>
      <w:r>
        <w:rPr>
          <w:rFonts w:hint="eastAsia" w:ascii="Times New Roman" w:hAnsi="Times New Roman" w:eastAsia="仿宋" w:cs="Times New Roman"/>
          <w:color w:val="333333"/>
          <w:spacing w:val="8"/>
          <w:sz w:val="32"/>
          <w:szCs w:val="32"/>
          <w:lang w:val="en-US" w:eastAsia="zh-CN"/>
        </w:rPr>
        <w:t>永安镇</w:t>
      </w:r>
      <w:r>
        <w:rPr>
          <w:rFonts w:hint="default" w:ascii="Times New Roman" w:hAnsi="Times New Roman" w:eastAsia="仿宋" w:cs="Times New Roman"/>
          <w:color w:val="333333"/>
          <w:spacing w:val="8"/>
          <w:sz w:val="32"/>
          <w:szCs w:val="32"/>
          <w:lang w:eastAsia="zh-CN"/>
        </w:rPr>
        <w:t>驻地有卫生院。成片开发还配套有教育用地、</w:t>
      </w:r>
      <w:r>
        <w:rPr>
          <w:rFonts w:hint="eastAsia" w:ascii="Times New Roman" w:hAnsi="Times New Roman" w:eastAsia="仿宋" w:cs="Times New Roman"/>
          <w:color w:val="333333"/>
          <w:spacing w:val="8"/>
          <w:sz w:val="32"/>
          <w:szCs w:val="32"/>
          <w:lang w:val="en-US" w:eastAsia="zh-CN"/>
        </w:rPr>
        <w:t>公园绿地、</w:t>
      </w:r>
      <w:r>
        <w:rPr>
          <w:rFonts w:hint="default" w:ascii="Times New Roman" w:hAnsi="Times New Roman" w:eastAsia="仿宋" w:cs="Times New Roman"/>
          <w:color w:val="333333"/>
          <w:spacing w:val="8"/>
          <w:sz w:val="32"/>
          <w:szCs w:val="32"/>
          <w:lang w:eastAsia="zh-CN"/>
        </w:rPr>
        <w:t>多家营业网点，为企业、市民提供“一条龙”和“一站式”的服务。项目用电、通信配套设施、公共服务设施，均由</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政府负责统一敷设。由于</w:t>
      </w:r>
      <w:r>
        <w:rPr>
          <w:rFonts w:hint="eastAsia" w:ascii="Times New Roman" w:hAnsi="Times New Roman" w:eastAsia="仿宋" w:cs="Times New Roman"/>
          <w:color w:val="333333"/>
          <w:spacing w:val="8"/>
          <w:sz w:val="32"/>
          <w:szCs w:val="32"/>
          <w:lang w:val="en-US" w:eastAsia="zh-CN"/>
        </w:rPr>
        <w:t>永安镇</w:t>
      </w:r>
      <w:r>
        <w:rPr>
          <w:rFonts w:hint="default" w:ascii="Times New Roman" w:hAnsi="Times New Roman" w:eastAsia="仿宋" w:cs="Times New Roman"/>
          <w:color w:val="333333"/>
          <w:spacing w:val="8"/>
          <w:sz w:val="32"/>
          <w:szCs w:val="32"/>
          <w:lang w:eastAsia="zh-CN"/>
        </w:rPr>
        <w:t>项目周边无市政热源，现阶段为保证项目采暖及环保需求，项目拟采用电热锅炉供暖方式采暖，后期将连接</w:t>
      </w:r>
      <w:r>
        <w:rPr>
          <w:rFonts w:hint="eastAsia" w:ascii="Times New Roman" w:hAnsi="Times New Roman" w:eastAsia="仿宋" w:cs="Times New Roman"/>
          <w:color w:val="333333"/>
          <w:spacing w:val="8"/>
          <w:sz w:val="32"/>
          <w:szCs w:val="32"/>
          <w:lang w:val="en-US" w:eastAsia="zh-CN"/>
        </w:rPr>
        <w:t>乡镇</w:t>
      </w:r>
      <w:r>
        <w:rPr>
          <w:rFonts w:hint="default" w:ascii="Times New Roman" w:hAnsi="Times New Roman" w:eastAsia="仿宋" w:cs="Times New Roman"/>
          <w:color w:val="333333"/>
          <w:spacing w:val="8"/>
          <w:sz w:val="32"/>
          <w:szCs w:val="32"/>
          <w:lang w:eastAsia="zh-CN"/>
        </w:rPr>
        <w:t>级热网，集中供热，基本满足本区域内的公共服务用地。</w:t>
      </w:r>
    </w:p>
    <w:p w14:paraId="40731DDF">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102" w:name="_Toc27613"/>
      <w:bookmarkStart w:id="103" w:name="_Toc19954"/>
      <w:r>
        <w:rPr>
          <w:rFonts w:hint="default" w:ascii="Times New Roman" w:hAnsi="Times New Roman" w:eastAsia="方正楷体_GB2312" w:cs="Times New Roman"/>
        </w:rPr>
        <w:t>4.4生态环境影响</w:t>
      </w:r>
      <w:bookmarkEnd w:id="102"/>
      <w:bookmarkEnd w:id="103"/>
    </w:p>
    <w:p w14:paraId="4E315370">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本次成片开发范围距生态保护红线较远，不涉及生态保护红线；不涉及生态功能极重要区域和生态环境极敏感脆弱区域；不涉及各类自然保护地等国家和省级禁止开发建设区域；不涉及重要湿地（国际、国家）、国家级和省级公益林等其他应进行保护的区域；不涉及疑似污染地块和污染地块，因此对区域内生态环境影响较小。</w:t>
      </w:r>
    </w:p>
    <w:p w14:paraId="7636C65F">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104" w:name="_Toc57365262"/>
      <w:bookmarkStart w:id="105" w:name="_Toc25156"/>
      <w:bookmarkStart w:id="106" w:name="_Toc2022"/>
      <w:r>
        <w:rPr>
          <w:rFonts w:hint="default" w:ascii="Times New Roman" w:hAnsi="Times New Roman" w:eastAsia="方正楷体_GB2312" w:cs="Times New Roman"/>
        </w:rPr>
        <w:t>4.5占用耕地不可避让性</w:t>
      </w:r>
      <w:bookmarkEnd w:id="104"/>
      <w:r>
        <w:rPr>
          <w:rFonts w:hint="default" w:ascii="Times New Roman" w:hAnsi="Times New Roman" w:eastAsia="方正楷体_GB2312" w:cs="Times New Roman"/>
        </w:rPr>
        <w:t>分析</w:t>
      </w:r>
      <w:bookmarkEnd w:id="105"/>
      <w:bookmarkEnd w:id="106"/>
    </w:p>
    <w:p w14:paraId="02E1E925">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土地征收成片开发中氢醇航油化工联产项目</w:t>
      </w:r>
      <w:r>
        <w:rPr>
          <w:rFonts w:hint="eastAsia" w:ascii="Times New Roman" w:hAnsi="Times New Roman" w:eastAsia="仿宋" w:cs="Times New Roman"/>
          <w:color w:val="333333"/>
          <w:spacing w:val="8"/>
          <w:sz w:val="32"/>
          <w:szCs w:val="32"/>
          <w:lang w:val="en-US" w:eastAsia="zh-CN"/>
        </w:rPr>
        <w:t>和持续航空燃料（SAF）生产项目</w:t>
      </w:r>
      <w:r>
        <w:rPr>
          <w:rFonts w:hint="default" w:ascii="Times New Roman" w:hAnsi="Times New Roman" w:eastAsia="仿宋" w:cs="Times New Roman"/>
          <w:color w:val="333333"/>
          <w:spacing w:val="8"/>
          <w:sz w:val="32"/>
          <w:szCs w:val="32"/>
          <w:lang w:eastAsia="zh-CN"/>
        </w:rPr>
        <w:t>具有较强的地理位置要求，根据</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规划要求，经多方案比选，确定无法避让耕地后选定现在位置。其中水田面积为10.214</w:t>
      </w:r>
      <w:r>
        <w:rPr>
          <w:rFonts w:hint="eastAsia" w:ascii="Times New Roman" w:hAnsi="Times New Roman" w:eastAsia="仿宋" w:cs="Times New Roman"/>
          <w:color w:val="333333"/>
          <w:spacing w:val="8"/>
          <w:sz w:val="32"/>
          <w:szCs w:val="32"/>
          <w:lang w:val="en-US" w:eastAsia="zh-CN"/>
        </w:rPr>
        <w:t>0</w:t>
      </w:r>
      <w:r>
        <w:rPr>
          <w:rFonts w:hint="default" w:ascii="Times New Roman" w:hAnsi="Times New Roman" w:eastAsia="仿宋" w:cs="Times New Roman"/>
          <w:color w:val="333333"/>
          <w:spacing w:val="8"/>
          <w:sz w:val="32"/>
          <w:szCs w:val="32"/>
          <w:lang w:eastAsia="zh-CN"/>
        </w:rPr>
        <w:t>公顷，旱地面积为41.457</w:t>
      </w:r>
      <w:r>
        <w:rPr>
          <w:rFonts w:hint="eastAsia" w:ascii="Times New Roman" w:hAnsi="Times New Roman" w:eastAsia="仿宋" w:cs="Times New Roman"/>
          <w:color w:val="333333"/>
          <w:spacing w:val="8"/>
          <w:sz w:val="32"/>
          <w:szCs w:val="32"/>
          <w:lang w:val="en-US" w:eastAsia="zh-CN"/>
        </w:rPr>
        <w:t>0</w:t>
      </w:r>
      <w:r>
        <w:rPr>
          <w:rFonts w:hint="default" w:ascii="Times New Roman" w:hAnsi="Times New Roman" w:eastAsia="仿宋" w:cs="Times New Roman"/>
          <w:color w:val="333333"/>
          <w:spacing w:val="8"/>
          <w:sz w:val="32"/>
          <w:szCs w:val="32"/>
          <w:lang w:eastAsia="zh-CN"/>
        </w:rPr>
        <w:t>公顷</w:t>
      </w:r>
      <w:r>
        <w:rPr>
          <w:rFonts w:hint="eastAsia" w:ascii="Times New Roman" w:hAnsi="Times New Roman" w:eastAsia="仿宋" w:cs="Times New Roman"/>
          <w:color w:val="333333"/>
          <w:spacing w:val="8"/>
          <w:sz w:val="32"/>
          <w:szCs w:val="32"/>
          <w:lang w:eastAsia="zh-CN"/>
        </w:rPr>
        <w:t>。</w:t>
      </w:r>
    </w:p>
    <w:p w14:paraId="0B46CAED">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sectPr>
          <w:pgSz w:w="11906" w:h="16838"/>
          <w:pgMar w:top="1440" w:right="1587" w:bottom="1440" w:left="1587"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default" w:ascii="Times New Roman" w:hAnsi="Times New Roman" w:eastAsia="仿宋" w:cs="Times New Roman"/>
          <w:color w:val="333333"/>
          <w:spacing w:val="8"/>
          <w:sz w:val="32"/>
          <w:szCs w:val="32"/>
          <w:lang w:eastAsia="zh-CN"/>
        </w:rPr>
        <w:t>本方案占用耕地</w:t>
      </w:r>
      <w:r>
        <w:rPr>
          <w:rFonts w:hint="eastAsia" w:ascii="Times New Roman" w:hAnsi="Times New Roman" w:eastAsia="仿宋" w:cs="Times New Roman"/>
          <w:color w:val="333333"/>
          <w:spacing w:val="8"/>
          <w:sz w:val="32"/>
          <w:szCs w:val="32"/>
          <w:lang w:val="en-US" w:eastAsia="zh-CN"/>
        </w:rPr>
        <w:t>51.6710</w:t>
      </w:r>
      <w:r>
        <w:rPr>
          <w:rFonts w:hint="default" w:ascii="Times New Roman" w:hAnsi="Times New Roman" w:eastAsia="仿宋" w:cs="Times New Roman"/>
          <w:color w:val="333333"/>
          <w:spacing w:val="8"/>
          <w:sz w:val="32"/>
          <w:szCs w:val="32"/>
          <w:lang w:eastAsia="zh-CN"/>
        </w:rPr>
        <w:t>公顷（其中</w:t>
      </w:r>
      <w:r>
        <w:rPr>
          <w:rFonts w:hint="default" w:ascii="Times New Roman" w:hAnsi="Times New Roman" w:eastAsia="仿宋" w:cs="Times New Roman"/>
          <w:color w:val="333333"/>
          <w:spacing w:val="8"/>
          <w:sz w:val="32"/>
          <w:szCs w:val="32"/>
          <w:lang w:val="en-US" w:eastAsia="zh-CN"/>
        </w:rPr>
        <w:t>水田10.214</w:t>
      </w:r>
      <w:r>
        <w:rPr>
          <w:rFonts w:hint="eastAsia" w:ascii="Times New Roman" w:hAnsi="Times New Roman" w:eastAsia="仿宋" w:cs="Times New Roman"/>
          <w:color w:val="333333"/>
          <w:spacing w:val="8"/>
          <w:sz w:val="32"/>
          <w:szCs w:val="32"/>
          <w:lang w:val="en-US" w:eastAsia="zh-CN"/>
        </w:rPr>
        <w:t>0</w:t>
      </w:r>
      <w:r>
        <w:rPr>
          <w:rFonts w:hint="default" w:ascii="Times New Roman" w:hAnsi="Times New Roman" w:eastAsia="仿宋" w:cs="Times New Roman"/>
          <w:color w:val="333333"/>
          <w:spacing w:val="8"/>
          <w:sz w:val="32"/>
          <w:szCs w:val="32"/>
          <w:lang w:val="en-US" w:eastAsia="zh-CN"/>
        </w:rPr>
        <w:t>公顷，</w:t>
      </w:r>
      <w:r>
        <w:rPr>
          <w:rFonts w:hint="default" w:ascii="Times New Roman" w:hAnsi="Times New Roman" w:eastAsia="仿宋" w:cs="Times New Roman"/>
          <w:color w:val="333333"/>
          <w:spacing w:val="8"/>
          <w:sz w:val="32"/>
          <w:szCs w:val="32"/>
          <w:lang w:eastAsia="zh-CN"/>
        </w:rPr>
        <w:t>旱地</w:t>
      </w:r>
      <w:r>
        <w:rPr>
          <w:rFonts w:hint="eastAsia" w:ascii="Times New Roman" w:hAnsi="Times New Roman" w:eastAsia="仿宋" w:cs="Times New Roman"/>
          <w:color w:val="333333"/>
          <w:spacing w:val="8"/>
          <w:sz w:val="32"/>
          <w:szCs w:val="32"/>
          <w:lang w:eastAsia="zh-CN"/>
        </w:rPr>
        <w:t>41.4570</w:t>
      </w:r>
      <w:r>
        <w:rPr>
          <w:rFonts w:hint="default" w:ascii="Times New Roman" w:hAnsi="Times New Roman" w:eastAsia="仿宋" w:cs="Times New Roman"/>
          <w:color w:val="333333"/>
          <w:spacing w:val="8"/>
          <w:sz w:val="32"/>
          <w:szCs w:val="32"/>
          <w:lang w:eastAsia="zh-CN"/>
        </w:rPr>
        <w:t>公顷），占总用</w:t>
      </w:r>
      <w:r>
        <w:rPr>
          <w:rFonts w:hint="eastAsia" w:ascii="Times New Roman" w:hAnsi="Times New Roman" w:eastAsia="仿宋" w:cs="Times New Roman"/>
          <w:color w:val="333333"/>
          <w:spacing w:val="8"/>
          <w:sz w:val="32"/>
          <w:szCs w:val="32"/>
          <w:lang w:val="en-US" w:eastAsia="zh-CN"/>
        </w:rPr>
        <w:t>地</w:t>
      </w:r>
      <w:r>
        <w:rPr>
          <w:rFonts w:hint="default" w:ascii="Times New Roman" w:hAnsi="Times New Roman" w:eastAsia="仿宋" w:cs="Times New Roman"/>
          <w:color w:val="333333"/>
          <w:spacing w:val="8"/>
          <w:sz w:val="32"/>
          <w:szCs w:val="32"/>
          <w:lang w:val="en-US" w:eastAsia="zh-CN"/>
        </w:rPr>
        <w:t>68.47%</w:t>
      </w:r>
      <w:r>
        <w:rPr>
          <w:rFonts w:hint="default" w:ascii="Times New Roman" w:hAnsi="Times New Roman" w:eastAsia="仿宋" w:cs="Times New Roman"/>
          <w:color w:val="333333"/>
          <w:spacing w:val="8"/>
          <w:sz w:val="32"/>
          <w:szCs w:val="32"/>
          <w:lang w:eastAsia="zh-CN"/>
        </w:rPr>
        <w:t>，未占用永久基本农田，开发边界范围为面状工程，位于</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2025年度土地征收成片开发项目区工程，该区域主要为耕地，单个非耕地图斑均小于开发用地范围，表现为用地范围与一般耕地区高度重叠，不可避免占用耕地和难以避让耕地。综合考虑地形、地质构造、技术经济、建设条件、工程实施难度、对地方经济发展的影响及对环境影响，本方案已多方案比选，并采取工程、技术措施，最大限度的节约土地、保护耕地和少占耕地原则，在确定选址时尽可能避让耕地不占永久基本农田为原则。</w:t>
      </w:r>
    </w:p>
    <w:p w14:paraId="5DCBF244">
      <w:pPr>
        <w:pStyle w:val="2"/>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黑体" w:cs="Times New Roman"/>
          <w:sz w:val="32"/>
          <w:szCs w:val="32"/>
        </w:rPr>
      </w:pPr>
      <w:bookmarkStart w:id="107" w:name="_Toc8893"/>
      <w:bookmarkStart w:id="108" w:name="_Toc6607"/>
      <w:r>
        <w:rPr>
          <w:rFonts w:hint="default" w:ascii="Times New Roman" w:hAnsi="Times New Roman" w:eastAsia="黑体" w:cs="Times New Roman"/>
          <w:sz w:val="32"/>
          <w:szCs w:val="32"/>
        </w:rPr>
        <w:t>5.合规性分析</w:t>
      </w:r>
      <w:bookmarkEnd w:id="107"/>
      <w:bookmarkEnd w:id="108"/>
    </w:p>
    <w:p w14:paraId="1F5C75A4">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zh-CN" w:eastAsia="zh-CN"/>
        </w:rPr>
      </w:pPr>
      <w:r>
        <w:rPr>
          <w:rFonts w:hint="default" w:ascii="Times New Roman" w:hAnsi="Times New Roman" w:eastAsia="仿宋" w:cs="Times New Roman"/>
          <w:color w:val="333333"/>
          <w:spacing w:val="8"/>
          <w:sz w:val="32"/>
          <w:szCs w:val="32"/>
          <w:lang w:eastAsia="zh-CN"/>
        </w:rPr>
        <w:t>依据《土地管理法》</w:t>
      </w:r>
      <w:r>
        <w:rPr>
          <w:rFonts w:hint="default" w:ascii="Times New Roman" w:hAnsi="Times New Roman" w:eastAsia="仿宋" w:cs="Times New Roman"/>
          <w:color w:val="333333"/>
          <w:spacing w:val="8"/>
          <w:sz w:val="32"/>
          <w:szCs w:val="32"/>
          <w:lang w:val="zh-CN" w:eastAsia="zh-CN"/>
        </w:rPr>
        <w:t>第45条规定，《土地征收成片开发标准》（自然资规〔2023〕7号）规定，本次成片开发方案依据国民经济和社会发展规划等进行合规性分析。</w:t>
      </w:r>
    </w:p>
    <w:p w14:paraId="4D7186D4">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109" w:name="_Toc2171"/>
      <w:bookmarkStart w:id="110" w:name="_Toc22519"/>
      <w:r>
        <w:rPr>
          <w:rFonts w:hint="default" w:ascii="Times New Roman" w:hAnsi="Times New Roman" w:eastAsia="方正楷体_GB2312" w:cs="Times New Roman"/>
        </w:rPr>
        <w:t>5.1国民经济和社会发展规划的符合性分析</w:t>
      </w:r>
      <w:bookmarkEnd w:id="109"/>
      <w:bookmarkEnd w:id="110"/>
    </w:p>
    <w:p w14:paraId="5C3C5462">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本次成片开发方案符合</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现行国民经济和社会发展规划，已纳入《</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国民经济和社会发展第十四个五年规划和二〇三五年远景目标纲要》，本次土地征收成片开发拟建项目符合规划的发展定位、要求，符合规划对成片开发范围的用地布局，有利于完成规划目标和任务。详见附件《</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国民经济和社会发展第十四个五年规划和二〇三五年远景目标纲要》。</w:t>
      </w:r>
    </w:p>
    <w:p w14:paraId="0F6575FD">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lang w:val="zh-CN"/>
        </w:rPr>
      </w:pPr>
      <w:bookmarkStart w:id="111" w:name="_Toc18319"/>
      <w:bookmarkStart w:id="112" w:name="_Toc3057"/>
      <w:r>
        <w:rPr>
          <w:rFonts w:hint="default" w:ascii="Times New Roman" w:hAnsi="Times New Roman" w:eastAsia="方正楷体_GB2312" w:cs="Times New Roman"/>
        </w:rPr>
        <w:t>5.2</w:t>
      </w:r>
      <w:r>
        <w:rPr>
          <w:rFonts w:hint="default" w:ascii="Times New Roman" w:hAnsi="Times New Roman" w:eastAsia="方正楷体_GB2312" w:cs="Times New Roman"/>
          <w:lang w:val="zh-CN"/>
        </w:rPr>
        <w:t>国土空间总体规划的符合性分析</w:t>
      </w:r>
      <w:bookmarkEnd w:id="111"/>
      <w:bookmarkEnd w:id="112"/>
    </w:p>
    <w:p w14:paraId="3165C3BA">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pPr>
      <w:r>
        <w:rPr>
          <w:rFonts w:hint="eastAsia" w:ascii="Times New Roman" w:hAnsi="Times New Roman" w:eastAsia="仿宋" w:cs="Times New Roman"/>
          <w:color w:val="333333"/>
          <w:spacing w:val="8"/>
          <w:sz w:val="32"/>
          <w:szCs w:val="32"/>
          <w:lang w:eastAsia="zh-CN"/>
        </w:rPr>
        <w:t>黑龙江省鸡西市鸡东县30万吨绿氢醇航油化工联产项目</w:t>
      </w:r>
      <w:r>
        <w:rPr>
          <w:rFonts w:hint="eastAsia" w:ascii="Times New Roman" w:hAnsi="Times New Roman" w:eastAsia="仿宋" w:cs="Times New Roman"/>
          <w:color w:val="333333"/>
          <w:spacing w:val="8"/>
          <w:sz w:val="32"/>
          <w:szCs w:val="32"/>
          <w:lang w:val="en-US" w:eastAsia="zh-CN"/>
        </w:rPr>
        <w:t>和万吨可持续航空燃料（SAF）生产项目</w:t>
      </w:r>
      <w:r>
        <w:rPr>
          <w:rFonts w:hint="default" w:ascii="Times New Roman" w:hAnsi="Times New Roman" w:eastAsia="仿宋" w:cs="Times New Roman"/>
          <w:color w:val="333333"/>
          <w:spacing w:val="8"/>
          <w:sz w:val="32"/>
          <w:szCs w:val="32"/>
          <w:lang w:val="en-US" w:eastAsia="zh-CN"/>
        </w:rPr>
        <w:t>位于</w:t>
      </w:r>
      <w:r>
        <w:rPr>
          <w:rFonts w:hint="eastAsia" w:ascii="Times New Roman" w:hAnsi="Times New Roman" w:eastAsia="仿宋" w:cs="Times New Roman"/>
          <w:color w:val="333333"/>
          <w:spacing w:val="8"/>
          <w:sz w:val="32"/>
          <w:szCs w:val="32"/>
          <w:lang w:val="en-US" w:eastAsia="zh-CN"/>
        </w:rPr>
        <w:t>永安镇</w:t>
      </w:r>
      <w:r>
        <w:rPr>
          <w:rFonts w:hint="default" w:ascii="Times New Roman" w:hAnsi="Times New Roman" w:eastAsia="仿宋" w:cs="Times New Roman"/>
          <w:color w:val="333333"/>
          <w:spacing w:val="8"/>
          <w:sz w:val="32"/>
          <w:szCs w:val="32"/>
          <w:lang w:val="en-US" w:eastAsia="zh-CN"/>
        </w:rPr>
        <w:t>，</w:t>
      </w:r>
      <w:r>
        <w:rPr>
          <w:rFonts w:hint="default" w:ascii="Times New Roman" w:hAnsi="Times New Roman" w:eastAsia="仿宋" w:cs="Times New Roman"/>
          <w:color w:val="333333"/>
          <w:spacing w:val="8"/>
          <w:sz w:val="32"/>
          <w:szCs w:val="32"/>
          <w:lang w:eastAsia="zh-CN"/>
        </w:rPr>
        <w:t>选址过程中，充分考虑避让永久基本农田，经与</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三区三线永久基本农田划定成果及</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核实处置后永久基本农田数据库对比后，土地征收成片开发片区不占用永久基本农田。土地征收成片开发片区与</w:t>
      </w:r>
      <w:r>
        <w:rPr>
          <w:rFonts w:hint="default" w:ascii="Times New Roman" w:hAnsi="Times New Roman" w:eastAsia="仿宋" w:cs="Times New Roman"/>
          <w:color w:val="333333"/>
          <w:spacing w:val="8"/>
          <w:sz w:val="32"/>
          <w:szCs w:val="32"/>
          <w:lang w:val="en-US" w:eastAsia="zh-CN"/>
        </w:rPr>
        <w:t>2022</w:t>
      </w:r>
      <w:r>
        <w:rPr>
          <w:rFonts w:hint="default" w:ascii="Times New Roman" w:hAnsi="Times New Roman" w:eastAsia="仿宋" w:cs="Times New Roman"/>
          <w:color w:val="333333"/>
          <w:spacing w:val="8"/>
          <w:sz w:val="32"/>
          <w:szCs w:val="32"/>
          <w:lang w:eastAsia="zh-CN"/>
        </w:rPr>
        <w:t>年</w:t>
      </w:r>
      <w:r>
        <w:rPr>
          <w:rFonts w:hint="default" w:ascii="Times New Roman" w:hAnsi="Times New Roman" w:eastAsia="仿宋" w:cs="Times New Roman"/>
          <w:color w:val="333333"/>
          <w:spacing w:val="8"/>
          <w:sz w:val="32"/>
          <w:szCs w:val="32"/>
          <w:lang w:val="en-US" w:eastAsia="zh-CN"/>
        </w:rPr>
        <w:t>11月1日</w:t>
      </w:r>
      <w:r>
        <w:rPr>
          <w:rFonts w:hint="default" w:ascii="Times New Roman" w:hAnsi="Times New Roman" w:eastAsia="仿宋" w:cs="Times New Roman"/>
          <w:color w:val="333333"/>
          <w:spacing w:val="8"/>
          <w:sz w:val="32"/>
          <w:szCs w:val="32"/>
          <w:lang w:eastAsia="zh-CN"/>
        </w:rPr>
        <w:t>自然资源部批准使用的生态保护红线核对，土地征收成片开发片区不在生态保护红线范围内</w:t>
      </w:r>
      <w:r>
        <w:rPr>
          <w:rFonts w:hint="default" w:ascii="Times New Roman" w:hAnsi="Times New Roman" w:eastAsia="仿宋" w:cs="Times New Roman"/>
          <w:color w:val="333333"/>
          <w:spacing w:val="8"/>
          <w:sz w:val="32"/>
          <w:szCs w:val="32"/>
          <w:lang w:val="en-US" w:eastAsia="zh-CN"/>
        </w:rPr>
        <w:t>，将其土地征收成片开发项目与城镇开发边界进行套合，成片开发实施的项目位于城镇开发边界内</w:t>
      </w:r>
      <w:r>
        <w:rPr>
          <w:rFonts w:hint="eastAsia" w:ascii="Times New Roman" w:hAnsi="Times New Roman" w:eastAsia="仿宋" w:cs="Times New Roman"/>
          <w:color w:val="333333"/>
          <w:spacing w:val="8"/>
          <w:sz w:val="32"/>
          <w:szCs w:val="32"/>
          <w:lang w:val="en-US" w:eastAsia="zh-CN"/>
        </w:rPr>
        <w:t>；</w:t>
      </w:r>
      <w:r>
        <w:rPr>
          <w:rFonts w:hint="default" w:ascii="Times New Roman" w:hAnsi="Times New Roman" w:eastAsia="仿宋" w:cs="Times New Roman"/>
          <w:color w:val="333333"/>
          <w:spacing w:val="8"/>
          <w:sz w:val="32"/>
          <w:szCs w:val="32"/>
          <w:lang w:val="en-US" w:eastAsia="zh-CN"/>
        </w:rPr>
        <w:t>占用《</w:t>
      </w:r>
      <w:r>
        <w:rPr>
          <w:rFonts w:hint="eastAsia" w:ascii="Times New Roman" w:hAnsi="Times New Roman" w:eastAsia="仿宋" w:cs="Times New Roman"/>
          <w:color w:val="333333"/>
          <w:spacing w:val="8"/>
          <w:sz w:val="32"/>
          <w:szCs w:val="32"/>
          <w:lang w:val="en-US" w:eastAsia="zh-CN"/>
        </w:rPr>
        <w:t>鸡东县</w:t>
      </w:r>
      <w:r>
        <w:rPr>
          <w:rFonts w:hint="default" w:ascii="Times New Roman" w:hAnsi="Times New Roman" w:eastAsia="仿宋" w:cs="Times New Roman"/>
          <w:color w:val="333333"/>
          <w:spacing w:val="8"/>
          <w:sz w:val="32"/>
          <w:szCs w:val="32"/>
          <w:lang w:val="en-US" w:eastAsia="zh-CN"/>
        </w:rPr>
        <w:t>国土空间总体规划（2021-2035年）》中的</w:t>
      </w:r>
      <w:r>
        <w:rPr>
          <w:rFonts w:hint="eastAsia" w:ascii="Times New Roman" w:hAnsi="Times New Roman" w:eastAsia="仿宋" w:cs="Times New Roman"/>
          <w:color w:val="333333"/>
          <w:spacing w:val="8"/>
          <w:sz w:val="32"/>
          <w:szCs w:val="32"/>
          <w:lang w:val="en-US" w:eastAsia="zh-CN"/>
        </w:rPr>
        <w:t>工业</w:t>
      </w:r>
      <w:r>
        <w:rPr>
          <w:rFonts w:hint="default" w:ascii="Times New Roman" w:hAnsi="Times New Roman" w:eastAsia="仿宋" w:cs="Times New Roman"/>
          <w:color w:val="333333"/>
          <w:spacing w:val="8"/>
          <w:sz w:val="32"/>
          <w:szCs w:val="32"/>
          <w:lang w:val="en-US" w:eastAsia="zh-CN"/>
        </w:rPr>
        <w:t>用地，符合《</w:t>
      </w:r>
      <w:r>
        <w:rPr>
          <w:rFonts w:hint="eastAsia" w:ascii="Times New Roman" w:hAnsi="Times New Roman" w:eastAsia="仿宋" w:cs="Times New Roman"/>
          <w:color w:val="333333"/>
          <w:spacing w:val="8"/>
          <w:sz w:val="32"/>
          <w:szCs w:val="32"/>
          <w:lang w:val="en-US" w:eastAsia="zh-CN"/>
        </w:rPr>
        <w:t>鸡东县</w:t>
      </w:r>
      <w:r>
        <w:rPr>
          <w:rFonts w:hint="default" w:ascii="Times New Roman" w:hAnsi="Times New Roman" w:eastAsia="仿宋" w:cs="Times New Roman"/>
          <w:color w:val="333333"/>
          <w:spacing w:val="8"/>
          <w:sz w:val="32"/>
          <w:szCs w:val="32"/>
          <w:lang w:val="en-US" w:eastAsia="zh-CN"/>
        </w:rPr>
        <w:t>国土空间总体规划（2021-2035年）》用地管控要求。各类用地具体地块用途、边界定位、开发建设强度、用地兼容等规划管控要求在详细规划中确定，符合《标准》要求。</w:t>
      </w:r>
    </w:p>
    <w:p w14:paraId="45FB8771">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113" w:name="_Toc12641"/>
      <w:bookmarkStart w:id="114" w:name="_Toc7440"/>
      <w:r>
        <w:rPr>
          <w:rFonts w:hint="default" w:ascii="Times New Roman" w:hAnsi="Times New Roman" w:eastAsia="方正楷体_GB2312" w:cs="Times New Roman"/>
        </w:rPr>
        <w:t>5.</w:t>
      </w:r>
      <w:r>
        <w:rPr>
          <w:rFonts w:hint="eastAsia" w:ascii="Times New Roman" w:hAnsi="Times New Roman" w:eastAsia="方正楷体_GB2312" w:cs="Times New Roman"/>
          <w:lang w:val="en-US" w:eastAsia="zh-CN"/>
        </w:rPr>
        <w:t>3</w:t>
      </w:r>
      <w:r>
        <w:rPr>
          <w:rFonts w:hint="default" w:ascii="Times New Roman" w:hAnsi="Times New Roman" w:eastAsia="方正楷体_GB2312" w:cs="Times New Roman"/>
        </w:rPr>
        <w:t>批而未供土地和闲置土地情况</w:t>
      </w:r>
      <w:bookmarkEnd w:id="113"/>
      <w:bookmarkEnd w:id="114"/>
    </w:p>
    <w:p w14:paraId="665CA812">
      <w:pPr>
        <w:pStyle w:val="37"/>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115" w:name="_Toc22218"/>
      <w:bookmarkStart w:id="116" w:name="_Toc14682"/>
      <w:r>
        <w:rPr>
          <w:rFonts w:hint="default" w:ascii="Times New Roman" w:hAnsi="Times New Roman" w:eastAsia="方正仿宋_GB18030" w:cs="Times New Roman"/>
          <w:sz w:val="32"/>
          <w:szCs w:val="32"/>
          <w:lang w:val="en-US" w:eastAsia="zh-CN"/>
        </w:rPr>
        <w:t>5.</w:t>
      </w:r>
      <w:r>
        <w:rPr>
          <w:rFonts w:hint="eastAsia" w:ascii="Times New Roman" w:eastAsia="方正仿宋_GB18030" w:cs="Times New Roman"/>
          <w:sz w:val="32"/>
          <w:szCs w:val="32"/>
          <w:lang w:val="en-US" w:eastAsia="zh-CN"/>
        </w:rPr>
        <w:t>3</w:t>
      </w:r>
      <w:r>
        <w:rPr>
          <w:rFonts w:hint="default" w:ascii="Times New Roman" w:hAnsi="Times New Roman" w:eastAsia="方正仿宋_GB18030" w:cs="Times New Roman"/>
          <w:sz w:val="32"/>
          <w:szCs w:val="32"/>
          <w:lang w:val="en-US" w:eastAsia="zh-CN"/>
        </w:rPr>
        <w:t>.1批而未供情况</w:t>
      </w:r>
      <w:bookmarkEnd w:id="115"/>
      <w:bookmarkEnd w:id="116"/>
    </w:p>
    <w:p w14:paraId="4338525B">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bookmarkStart w:id="117" w:name="_Toc21387"/>
      <w:bookmarkStart w:id="118" w:name="_Toc18881"/>
      <w:r>
        <w:rPr>
          <w:rFonts w:hint="eastAsia" w:ascii="Times New Roman" w:hAnsi="Times New Roman" w:eastAsia="仿宋" w:cs="Times New Roman"/>
          <w:color w:val="333333"/>
          <w:spacing w:val="8"/>
          <w:sz w:val="32"/>
          <w:szCs w:val="32"/>
          <w:lang w:val="en-US" w:eastAsia="zh-CN"/>
        </w:rPr>
        <w:t>鸡东县</w:t>
      </w:r>
      <w:r>
        <w:rPr>
          <w:rFonts w:hint="default" w:ascii="Times New Roman" w:hAnsi="Times New Roman" w:eastAsia="仿宋" w:cs="Times New Roman"/>
          <w:color w:val="333333"/>
          <w:spacing w:val="8"/>
          <w:sz w:val="32"/>
          <w:szCs w:val="32"/>
          <w:lang w:eastAsia="zh-CN"/>
        </w:rPr>
        <w:t>已完成批而未供和闲置土地处置任务，符合开展成片开发方案编制条件。</w:t>
      </w:r>
    </w:p>
    <w:bookmarkEnd w:id="117"/>
    <w:bookmarkEnd w:id="118"/>
    <w:p w14:paraId="18B025E0">
      <w:pPr>
        <w:pStyle w:val="37"/>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119" w:name="_Toc20213"/>
      <w:bookmarkStart w:id="120" w:name="_Toc22499"/>
      <w:r>
        <w:rPr>
          <w:rFonts w:hint="default" w:ascii="Times New Roman" w:hAnsi="Times New Roman" w:eastAsia="方正仿宋_GB18030" w:cs="Times New Roman"/>
          <w:sz w:val="32"/>
          <w:szCs w:val="32"/>
          <w:lang w:val="en-US" w:eastAsia="zh-CN"/>
        </w:rPr>
        <w:t>5.</w:t>
      </w:r>
      <w:r>
        <w:rPr>
          <w:rFonts w:hint="eastAsia" w:ascii="Times New Roman" w:eastAsia="方正仿宋_GB18030" w:cs="Times New Roman"/>
          <w:sz w:val="32"/>
          <w:szCs w:val="32"/>
          <w:lang w:val="en-US" w:eastAsia="zh-CN"/>
        </w:rPr>
        <w:t>3</w:t>
      </w:r>
      <w:r>
        <w:rPr>
          <w:rFonts w:hint="default" w:ascii="Times New Roman" w:hAnsi="Times New Roman" w:eastAsia="方正仿宋_GB18030" w:cs="Times New Roman"/>
          <w:sz w:val="32"/>
          <w:szCs w:val="32"/>
          <w:lang w:val="en-US" w:eastAsia="zh-CN"/>
        </w:rPr>
        <w:t>.2闲置土地情况</w:t>
      </w:r>
      <w:bookmarkEnd w:id="119"/>
      <w:bookmarkEnd w:id="120"/>
    </w:p>
    <w:p w14:paraId="7E0CA5F3">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截至202</w:t>
      </w:r>
      <w:r>
        <w:rPr>
          <w:rFonts w:hint="eastAsia" w:ascii="Times New Roman" w:hAnsi="Times New Roman" w:eastAsia="仿宋" w:cs="Times New Roman"/>
          <w:color w:val="333333"/>
          <w:spacing w:val="8"/>
          <w:sz w:val="32"/>
          <w:szCs w:val="32"/>
          <w:lang w:val="en-US" w:eastAsia="zh-CN"/>
        </w:rPr>
        <w:t>5</w:t>
      </w:r>
      <w:r>
        <w:rPr>
          <w:rFonts w:hint="default" w:ascii="Times New Roman" w:hAnsi="Times New Roman" w:eastAsia="仿宋" w:cs="Times New Roman"/>
          <w:color w:val="333333"/>
          <w:spacing w:val="8"/>
          <w:sz w:val="32"/>
          <w:szCs w:val="32"/>
          <w:lang w:eastAsia="zh-CN"/>
        </w:rPr>
        <w:t>年</w:t>
      </w:r>
      <w:r>
        <w:rPr>
          <w:rFonts w:hint="eastAsia" w:ascii="Times New Roman" w:hAnsi="Times New Roman" w:eastAsia="仿宋" w:cs="Times New Roman"/>
          <w:color w:val="333333"/>
          <w:spacing w:val="8"/>
          <w:sz w:val="32"/>
          <w:szCs w:val="32"/>
          <w:lang w:val="en-US" w:eastAsia="zh-CN"/>
        </w:rPr>
        <w:t>6</w:t>
      </w:r>
      <w:r>
        <w:rPr>
          <w:rFonts w:hint="default" w:ascii="Times New Roman" w:hAnsi="Times New Roman" w:eastAsia="仿宋" w:cs="Times New Roman"/>
          <w:color w:val="333333"/>
          <w:spacing w:val="8"/>
          <w:sz w:val="32"/>
          <w:szCs w:val="32"/>
          <w:lang w:eastAsia="zh-CN"/>
        </w:rPr>
        <w:t>月，</w:t>
      </w:r>
      <w:r>
        <w:rPr>
          <w:rFonts w:hint="eastAsia" w:ascii="Times New Roman" w:hAnsi="Times New Roman" w:eastAsia="仿宋" w:cs="Times New Roman"/>
          <w:color w:val="333333"/>
          <w:spacing w:val="8"/>
          <w:sz w:val="32"/>
          <w:szCs w:val="32"/>
          <w:lang w:val="en-US" w:eastAsia="zh-CN"/>
        </w:rPr>
        <w:t>鸡东县</w:t>
      </w:r>
      <w:r>
        <w:rPr>
          <w:rFonts w:hint="default" w:ascii="Times New Roman" w:hAnsi="Times New Roman" w:eastAsia="仿宋" w:cs="Times New Roman"/>
          <w:color w:val="333333"/>
          <w:spacing w:val="8"/>
          <w:sz w:val="32"/>
          <w:szCs w:val="32"/>
          <w:lang w:eastAsia="zh-CN"/>
        </w:rPr>
        <w:t>已完成闲置土地</w:t>
      </w:r>
      <w:r>
        <w:rPr>
          <w:rFonts w:hint="default" w:ascii="Times New Roman" w:hAnsi="Times New Roman" w:eastAsia="仿宋" w:cs="Times New Roman"/>
          <w:color w:val="333333"/>
          <w:spacing w:val="8"/>
          <w:sz w:val="32"/>
          <w:szCs w:val="32"/>
          <w:lang w:val="en-US" w:eastAsia="zh-CN"/>
        </w:rPr>
        <w:t>盘活</w:t>
      </w:r>
      <w:r>
        <w:rPr>
          <w:rFonts w:hint="default" w:ascii="Times New Roman" w:hAnsi="Times New Roman" w:eastAsia="仿宋" w:cs="Times New Roman"/>
          <w:color w:val="333333"/>
          <w:spacing w:val="8"/>
          <w:sz w:val="32"/>
          <w:szCs w:val="32"/>
          <w:lang w:eastAsia="zh-CN"/>
        </w:rPr>
        <w:t>目标工作。</w:t>
      </w:r>
    </w:p>
    <w:p w14:paraId="366EBAA1">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综上所述，</w:t>
      </w:r>
      <w:r>
        <w:rPr>
          <w:rFonts w:hint="eastAsia" w:ascii="Times New Roman" w:hAnsi="Times New Roman" w:eastAsia="仿宋" w:cs="Times New Roman"/>
          <w:color w:val="333333"/>
          <w:spacing w:val="8"/>
          <w:sz w:val="32"/>
          <w:szCs w:val="32"/>
          <w:lang w:val="en-US" w:eastAsia="zh-CN"/>
        </w:rPr>
        <w:t>鸡东县</w:t>
      </w:r>
      <w:r>
        <w:rPr>
          <w:rFonts w:hint="default" w:ascii="Times New Roman" w:hAnsi="Times New Roman" w:eastAsia="仿宋" w:cs="Times New Roman"/>
          <w:color w:val="333333"/>
          <w:spacing w:val="8"/>
          <w:sz w:val="32"/>
          <w:szCs w:val="32"/>
          <w:lang w:eastAsia="zh-CN"/>
        </w:rPr>
        <w:t>不存在大量批而未供和闲置土地，符合开展成片开发方案编制条件。</w:t>
      </w:r>
    </w:p>
    <w:p w14:paraId="04BEDCDF">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lang w:eastAsia="zh-CN"/>
        </w:rPr>
      </w:pPr>
      <w:bookmarkStart w:id="121" w:name="_Toc29380"/>
      <w:bookmarkStart w:id="122" w:name="_Toc617"/>
      <w:r>
        <w:rPr>
          <w:rFonts w:hint="default" w:ascii="Times New Roman" w:hAnsi="Times New Roman" w:eastAsia="方正楷体_GB2312" w:cs="Times New Roman"/>
        </w:rPr>
        <w:t>5.</w:t>
      </w:r>
      <w:r>
        <w:rPr>
          <w:rFonts w:hint="eastAsia" w:ascii="Times New Roman" w:hAnsi="Times New Roman" w:eastAsia="方正楷体_GB2312" w:cs="Times New Roman"/>
          <w:lang w:val="en-US" w:eastAsia="zh-CN"/>
        </w:rPr>
        <w:t>4</w:t>
      </w:r>
      <w:r>
        <w:rPr>
          <w:rFonts w:hint="default" w:ascii="Times New Roman" w:hAnsi="Times New Roman" w:eastAsia="方正楷体_GB2312" w:cs="Times New Roman"/>
        </w:rPr>
        <w:t>开发区、城市新区土地利用</w:t>
      </w:r>
      <w:bookmarkEnd w:id="121"/>
      <w:bookmarkEnd w:id="122"/>
    </w:p>
    <w:p w14:paraId="2F7D49ED">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highlight w:val="none"/>
          <w:lang w:eastAsia="zh-CN"/>
        </w:rPr>
      </w:pPr>
      <w:r>
        <w:rPr>
          <w:rFonts w:hint="eastAsia" w:ascii="Times New Roman" w:hAnsi="Times New Roman" w:eastAsia="仿宋" w:cs="Times New Roman"/>
          <w:color w:val="333333"/>
          <w:spacing w:val="8"/>
          <w:sz w:val="32"/>
          <w:szCs w:val="32"/>
          <w:highlight w:val="none"/>
          <w:lang w:eastAsia="zh-CN"/>
        </w:rPr>
        <w:t>黑龙江鸡东经济开发区</w:t>
      </w:r>
      <w:r>
        <w:rPr>
          <w:rFonts w:hint="default" w:ascii="Times New Roman" w:hAnsi="Times New Roman" w:eastAsia="仿宋" w:cs="Times New Roman"/>
          <w:color w:val="333333"/>
          <w:spacing w:val="8"/>
          <w:sz w:val="32"/>
          <w:szCs w:val="32"/>
          <w:highlight w:val="none"/>
          <w:lang w:eastAsia="zh-CN"/>
        </w:rPr>
        <w:t>总面积为760.3295公顷，其中土地开发率</w:t>
      </w:r>
      <w:r>
        <w:rPr>
          <w:rFonts w:hint="eastAsia" w:ascii="Times New Roman" w:hAnsi="Times New Roman" w:eastAsia="仿宋" w:cs="Times New Roman"/>
          <w:color w:val="333333"/>
          <w:spacing w:val="8"/>
          <w:sz w:val="32"/>
          <w:szCs w:val="32"/>
          <w:highlight w:val="none"/>
          <w:lang w:val="en-US" w:eastAsia="zh-CN"/>
        </w:rPr>
        <w:t>79.98</w:t>
      </w:r>
      <w:r>
        <w:rPr>
          <w:rFonts w:hint="default" w:ascii="Times New Roman" w:hAnsi="Times New Roman" w:eastAsia="仿宋" w:cs="Times New Roman"/>
          <w:color w:val="333333"/>
          <w:spacing w:val="8"/>
          <w:sz w:val="32"/>
          <w:szCs w:val="32"/>
          <w:highlight w:val="none"/>
          <w:lang w:eastAsia="zh-CN"/>
        </w:rPr>
        <w:t>%，土地供应率100%，土地建成率9</w:t>
      </w:r>
      <w:r>
        <w:rPr>
          <w:rFonts w:hint="eastAsia" w:ascii="Times New Roman" w:hAnsi="Times New Roman" w:eastAsia="仿宋" w:cs="Times New Roman"/>
          <w:color w:val="333333"/>
          <w:spacing w:val="8"/>
          <w:sz w:val="32"/>
          <w:szCs w:val="32"/>
          <w:highlight w:val="none"/>
          <w:lang w:val="en-US" w:eastAsia="zh-CN"/>
        </w:rPr>
        <w:t>6.21</w:t>
      </w:r>
      <w:r>
        <w:rPr>
          <w:rFonts w:hint="default" w:ascii="Times New Roman" w:hAnsi="Times New Roman" w:eastAsia="仿宋" w:cs="Times New Roman"/>
          <w:color w:val="333333"/>
          <w:spacing w:val="8"/>
          <w:sz w:val="32"/>
          <w:szCs w:val="32"/>
          <w:highlight w:val="none"/>
          <w:lang w:eastAsia="zh-CN"/>
        </w:rPr>
        <w:t>%，综合容积率0.</w:t>
      </w:r>
      <w:r>
        <w:rPr>
          <w:rFonts w:hint="eastAsia" w:ascii="Times New Roman" w:hAnsi="Times New Roman" w:eastAsia="仿宋" w:cs="Times New Roman"/>
          <w:color w:val="333333"/>
          <w:spacing w:val="8"/>
          <w:sz w:val="32"/>
          <w:szCs w:val="32"/>
          <w:highlight w:val="none"/>
          <w:lang w:val="en-US" w:eastAsia="zh-CN"/>
        </w:rPr>
        <w:t>57</w:t>
      </w:r>
      <w:r>
        <w:rPr>
          <w:rFonts w:hint="default" w:ascii="Times New Roman" w:hAnsi="Times New Roman" w:eastAsia="仿宋" w:cs="Times New Roman"/>
          <w:color w:val="333333"/>
          <w:spacing w:val="8"/>
          <w:sz w:val="32"/>
          <w:szCs w:val="32"/>
          <w:highlight w:val="none"/>
          <w:lang w:eastAsia="zh-CN"/>
        </w:rPr>
        <w:t>，建设规模较高。</w:t>
      </w:r>
    </w:p>
    <w:p w14:paraId="5E510F91">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FF0000"/>
          <w:spacing w:val="8"/>
          <w:sz w:val="32"/>
          <w:szCs w:val="32"/>
          <w:highlight w:val="none"/>
          <w:lang w:val="en-US" w:eastAsia="zh-CN"/>
        </w:rPr>
      </w:pPr>
      <w:r>
        <w:rPr>
          <w:rFonts w:hint="default" w:ascii="Times New Roman" w:hAnsi="Times New Roman" w:eastAsia="仿宋" w:cs="Times New Roman"/>
          <w:color w:val="333333"/>
          <w:spacing w:val="8"/>
          <w:sz w:val="32"/>
          <w:szCs w:val="32"/>
          <w:highlight w:val="none"/>
          <w:lang w:eastAsia="zh-CN"/>
        </w:rPr>
        <w:t>在黑龙江省自然资源厅办公室《关于黑龙江省2022年度开发区土地集约利用监测统计情况的函》（黑自然资办函〔2023〕23号）文件中，</w:t>
      </w:r>
      <w:r>
        <w:rPr>
          <w:rFonts w:hint="eastAsia" w:ascii="Times New Roman" w:hAnsi="Times New Roman" w:eastAsia="仿宋" w:cs="Times New Roman"/>
          <w:color w:val="333333"/>
          <w:spacing w:val="8"/>
          <w:sz w:val="32"/>
          <w:szCs w:val="32"/>
          <w:highlight w:val="none"/>
          <w:lang w:eastAsia="zh-CN"/>
        </w:rPr>
        <w:t>黑龙江鸡东经济开发区</w:t>
      </w:r>
      <w:r>
        <w:rPr>
          <w:rFonts w:hint="default" w:ascii="Times New Roman" w:hAnsi="Times New Roman" w:eastAsia="仿宋" w:cs="Times New Roman"/>
          <w:color w:val="333333"/>
          <w:spacing w:val="8"/>
          <w:sz w:val="32"/>
          <w:szCs w:val="32"/>
          <w:highlight w:val="none"/>
          <w:lang w:eastAsia="zh-CN"/>
        </w:rPr>
        <w:t>土地集约利用状况评价综合分值排名第</w:t>
      </w:r>
      <w:r>
        <w:rPr>
          <w:rFonts w:hint="eastAsia" w:ascii="Times New Roman" w:hAnsi="Times New Roman" w:eastAsia="仿宋" w:cs="Times New Roman"/>
          <w:color w:val="333333"/>
          <w:spacing w:val="8"/>
          <w:sz w:val="32"/>
          <w:szCs w:val="32"/>
          <w:highlight w:val="none"/>
          <w:lang w:val="en-US" w:eastAsia="zh-CN"/>
        </w:rPr>
        <w:t>1</w:t>
      </w:r>
      <w:r>
        <w:rPr>
          <w:rFonts w:hint="default" w:ascii="Times New Roman" w:hAnsi="Times New Roman" w:eastAsia="仿宋" w:cs="Times New Roman"/>
          <w:color w:val="333333"/>
          <w:spacing w:val="8"/>
          <w:sz w:val="32"/>
          <w:szCs w:val="32"/>
          <w:highlight w:val="none"/>
          <w:lang w:eastAsia="zh-CN"/>
        </w:rPr>
        <w:t>名。不属于各类开发区最新年度土地集约利用状况评价综合分值小于70且排名后10位的情况，符合开展成片开发方案编制条件。</w:t>
      </w:r>
    </w:p>
    <w:p w14:paraId="46A096A7">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123" w:name="_Toc12559"/>
      <w:bookmarkStart w:id="124" w:name="_Toc12337"/>
      <w:r>
        <w:rPr>
          <w:rFonts w:hint="default" w:ascii="Times New Roman" w:hAnsi="Times New Roman" w:eastAsia="方正楷体_GB2312" w:cs="Times New Roman"/>
        </w:rPr>
        <w:t>5.</w:t>
      </w:r>
      <w:r>
        <w:rPr>
          <w:rFonts w:hint="eastAsia" w:ascii="Times New Roman" w:hAnsi="Times New Roman" w:eastAsia="方正楷体_GB2312" w:cs="Times New Roman"/>
          <w:lang w:val="en-US" w:eastAsia="zh-CN"/>
        </w:rPr>
        <w:t>5</w:t>
      </w:r>
      <w:r>
        <w:rPr>
          <w:rFonts w:hint="default" w:ascii="Times New Roman" w:hAnsi="Times New Roman" w:eastAsia="方正楷体_GB2312" w:cs="Times New Roman"/>
        </w:rPr>
        <w:t>未存在矿产压覆、地灾和文物遗址</w:t>
      </w:r>
      <w:bookmarkEnd w:id="123"/>
      <w:bookmarkEnd w:id="124"/>
    </w:p>
    <w:p w14:paraId="332C025B">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根据</w:t>
      </w:r>
      <w:r>
        <w:rPr>
          <w:rFonts w:hint="eastAsia" w:ascii="Times New Roman" w:hAnsi="Times New Roman" w:eastAsia="仿宋" w:cs="Times New Roman"/>
          <w:color w:val="333333"/>
          <w:spacing w:val="8"/>
          <w:sz w:val="32"/>
          <w:szCs w:val="32"/>
          <w:lang w:val="en-US" w:eastAsia="zh-CN"/>
        </w:rPr>
        <w:t>鸡东县</w:t>
      </w:r>
      <w:r>
        <w:rPr>
          <w:rFonts w:hint="default" w:ascii="Times New Roman" w:hAnsi="Times New Roman" w:eastAsia="仿宋" w:cs="Times New Roman"/>
          <w:color w:val="333333"/>
          <w:spacing w:val="8"/>
          <w:sz w:val="32"/>
          <w:szCs w:val="32"/>
          <w:lang w:eastAsia="zh-CN"/>
        </w:rPr>
        <w:t>自然资源局提供的土地征收成片开发范围拐点坐标，经查询省自然资源厅用地审批平台，查询结果为地质灾害中危险区的，需要做建设用地地质灾害危险性评估；该区域内尚未发现文物遗址，建议土地开发过程中如发现文物遗址，请及时上报文物保护部门。对于地质灾害危险性评估工作，执行黑龙江省自然资源厅签发的关于批准《全省地质灾害危险性区划》及成果应用的通知（〔2020〕555号）、《关于进一步加强地质灾害危险性评估管理工作的通知》（〔2020〕1213号）及《关于做好全省地质灾害危险性区划成果运用工作的通知》（〔2020〕318号）文件要求，并在建设项目申请用地前先到自然资源主管部门用途管制科室的建设用地审批平台查询其地质灾害危险性等级别，本项目为中风险地区，需要做建设用地地质灾害危险性评估。土地征收成片开发范围内地形平坦、地质状况良好，场地平整，与2020年地灾防治方案的地灾隐患点对比为中风险区，需要做建设用地地质灾害危险性评估。</w:t>
      </w:r>
    </w:p>
    <w:p w14:paraId="12933196">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p>
    <w:p w14:paraId="353255E4">
      <w:pPr>
        <w:pStyle w:val="18"/>
        <w:pageBreakBefore w:val="0"/>
        <w:widowControl w:val="0"/>
        <w:kinsoku/>
        <w:wordWrap/>
        <w:overflowPunct/>
        <w:topLinePunct w:val="0"/>
        <w:autoSpaceDE/>
        <w:autoSpaceDN/>
        <w:bidi w:val="0"/>
        <w:adjustRightInd/>
        <w:snapToGrid/>
        <w:spacing w:line="560" w:lineRule="exact"/>
        <w:ind w:firstLine="420" w:firstLineChars="200"/>
        <w:textAlignment w:val="auto"/>
        <w:rPr>
          <w:rFonts w:hint="default" w:ascii="Times New Roman" w:hAnsi="Times New Roman" w:cs="Times New Roman"/>
        </w:rPr>
      </w:pPr>
    </w:p>
    <w:p w14:paraId="0A5623B7">
      <w:pPr>
        <w:pStyle w:val="18"/>
        <w:pageBreakBefore w:val="0"/>
        <w:widowControl w:val="0"/>
        <w:kinsoku/>
        <w:wordWrap/>
        <w:overflowPunct/>
        <w:topLinePunct w:val="0"/>
        <w:autoSpaceDE/>
        <w:autoSpaceDN/>
        <w:bidi w:val="0"/>
        <w:adjustRightInd/>
        <w:snapToGrid/>
        <w:spacing w:line="560" w:lineRule="exact"/>
        <w:ind w:firstLine="420" w:firstLineChars="200"/>
        <w:textAlignment w:val="auto"/>
        <w:rPr>
          <w:rFonts w:hint="default" w:ascii="Times New Roman" w:hAnsi="Times New Roman" w:cs="Times New Roman"/>
        </w:rPr>
      </w:pPr>
    </w:p>
    <w:p w14:paraId="0FE74825">
      <w:pPr>
        <w:pStyle w:val="2"/>
        <w:pageBreakBefore w:val="0"/>
        <w:widowControl w:val="0"/>
        <w:kinsoku/>
        <w:wordWrap/>
        <w:overflowPunct/>
        <w:topLinePunct w:val="0"/>
        <w:autoSpaceDE/>
        <w:autoSpaceDN/>
        <w:bidi w:val="0"/>
        <w:adjustRightInd/>
        <w:snapToGrid/>
        <w:spacing w:before="0" w:after="0" w:line="560" w:lineRule="exact"/>
        <w:ind w:firstLine="883" w:firstLineChars="200"/>
        <w:textAlignment w:val="auto"/>
        <w:rPr>
          <w:rFonts w:hint="default" w:ascii="Times New Roman" w:hAnsi="Times New Roman" w:cs="Times New Roman"/>
        </w:rPr>
        <w:sectPr>
          <w:pgSz w:w="11906" w:h="16838"/>
          <w:pgMar w:top="1440" w:right="1587" w:bottom="1440" w:left="1587" w:header="851" w:footer="992" w:gutter="0"/>
          <w:pgBorders>
            <w:top w:val="none" w:sz="0" w:space="0"/>
            <w:left w:val="none" w:sz="0" w:space="0"/>
            <w:bottom w:val="none" w:sz="0" w:space="0"/>
            <w:right w:val="none" w:sz="0" w:space="0"/>
          </w:pgBorders>
          <w:cols w:space="0" w:num="1"/>
          <w:rtlGutter w:val="0"/>
          <w:docGrid w:type="lines" w:linePitch="323" w:charSpace="0"/>
        </w:sectPr>
      </w:pPr>
    </w:p>
    <w:p w14:paraId="1B559497">
      <w:pPr>
        <w:pStyle w:val="2"/>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黑体" w:cs="Times New Roman"/>
          <w:sz w:val="32"/>
          <w:szCs w:val="32"/>
        </w:rPr>
      </w:pPr>
      <w:bookmarkStart w:id="125" w:name="_Toc19734"/>
      <w:bookmarkStart w:id="126" w:name="_Toc8098"/>
      <w:r>
        <w:rPr>
          <w:rFonts w:hint="default" w:ascii="Times New Roman" w:hAnsi="Times New Roman" w:eastAsia="黑体" w:cs="Times New Roman"/>
          <w:sz w:val="32"/>
          <w:szCs w:val="32"/>
        </w:rPr>
        <w:t>6.纳入国民经济与社会发展年度计划情况</w:t>
      </w:r>
      <w:bookmarkEnd w:id="125"/>
      <w:bookmarkEnd w:id="126"/>
    </w:p>
    <w:p w14:paraId="0969F3D7">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本次成片开发方案拟定的年度实施计划和开发时序符合国民经济和社会发展年度计划，纳入关于</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2024年国民经济和社会发展计划执行情况与2025年国民经济和社会发展计划草案的报告，（二）2025年全市国民经济和社会发展的主要工作，(七)着力促进城乡融合发展，深入实施以人为本的新型城镇化战略。相关证明材料见附件《国民经济和社会发展年度计划材料》。</w:t>
      </w:r>
    </w:p>
    <w:p w14:paraId="52680C80">
      <w:pPr>
        <w:rPr>
          <w:rFonts w:hint="default" w:ascii="Times New Roman" w:hAnsi="Times New Roman" w:eastAsia="仿宋" w:cs="Times New Roman"/>
          <w:color w:val="333333"/>
          <w:spacing w:val="8"/>
          <w:sz w:val="32"/>
          <w:szCs w:val="32"/>
          <w:lang w:val="en-US" w:eastAsia="zh-CN"/>
        </w:rPr>
      </w:pPr>
      <w:r>
        <w:rPr>
          <w:rFonts w:hint="default" w:ascii="Times New Roman" w:hAnsi="Times New Roman" w:eastAsia="仿宋" w:cs="Times New Roman"/>
          <w:color w:val="333333"/>
          <w:spacing w:val="8"/>
          <w:sz w:val="32"/>
          <w:szCs w:val="32"/>
          <w:lang w:val="en-US" w:eastAsia="zh-CN"/>
        </w:rPr>
        <w:br w:type="page"/>
      </w:r>
    </w:p>
    <w:p w14:paraId="26AB3653">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cols w:space="0" w:num="1"/>
          <w:rtlGutter w:val="0"/>
          <w:docGrid w:type="lines" w:linePitch="323" w:charSpace="0"/>
        </w:sectPr>
      </w:pPr>
    </w:p>
    <w:p w14:paraId="608A777F">
      <w:pPr>
        <w:pStyle w:val="2"/>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黑体" w:cs="Times New Roman"/>
          <w:sz w:val="32"/>
          <w:szCs w:val="32"/>
        </w:rPr>
      </w:pPr>
      <w:bookmarkStart w:id="127" w:name="_Toc13156"/>
      <w:bookmarkStart w:id="128" w:name="_Toc10553"/>
      <w:r>
        <w:rPr>
          <w:rFonts w:hint="default" w:ascii="Times New Roman" w:hAnsi="Times New Roman" w:eastAsia="黑体" w:cs="Times New Roman"/>
          <w:sz w:val="32"/>
          <w:szCs w:val="32"/>
        </w:rPr>
        <w:t>7.土地征收成片开发实施计划</w:t>
      </w:r>
      <w:bookmarkEnd w:id="127"/>
      <w:bookmarkEnd w:id="128"/>
      <w:bookmarkStart w:id="129" w:name="_Toc57365265"/>
    </w:p>
    <w:p w14:paraId="255382E5">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130" w:name="_Toc21443"/>
      <w:bookmarkStart w:id="131" w:name="_Toc9565"/>
      <w:r>
        <w:rPr>
          <w:rFonts w:hint="default" w:ascii="Times New Roman" w:hAnsi="Times New Roman" w:eastAsia="方正楷体_GB2312" w:cs="Times New Roman"/>
        </w:rPr>
        <w:t>7.1成片开发片区</w:t>
      </w:r>
      <w:bookmarkEnd w:id="130"/>
      <w:bookmarkEnd w:id="131"/>
    </w:p>
    <w:p w14:paraId="607B6A0B">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本方案拟安排项目</w:t>
      </w:r>
      <w:r>
        <w:rPr>
          <w:rFonts w:hint="eastAsia" w:ascii="Times New Roman" w:hAnsi="Times New Roman" w:eastAsia="仿宋" w:cs="Times New Roman"/>
          <w:color w:val="333333"/>
          <w:spacing w:val="8"/>
          <w:sz w:val="32"/>
          <w:szCs w:val="32"/>
          <w:lang w:val="en-US" w:eastAsia="zh-CN"/>
        </w:rPr>
        <w:t>12</w:t>
      </w:r>
      <w:r>
        <w:rPr>
          <w:rFonts w:hint="default" w:ascii="Times New Roman" w:hAnsi="Times New Roman" w:eastAsia="仿宋" w:cs="Times New Roman"/>
          <w:color w:val="333333"/>
          <w:spacing w:val="8"/>
          <w:sz w:val="32"/>
          <w:szCs w:val="32"/>
          <w:lang w:eastAsia="zh-CN"/>
        </w:rPr>
        <w:t>个，依据《国土空间调查、规划、用途管制用地用海分类指南</w:t>
      </w:r>
      <w:r>
        <w:rPr>
          <w:rFonts w:hint="eastAsia" w:ascii="Times New Roman" w:hAnsi="Times New Roman" w:eastAsia="仿宋" w:cs="Times New Roman"/>
          <w:color w:val="333333"/>
          <w:spacing w:val="8"/>
          <w:sz w:val="32"/>
          <w:szCs w:val="32"/>
          <w:lang w:eastAsia="zh-CN"/>
        </w:rPr>
        <w:t>（</w:t>
      </w:r>
      <w:r>
        <w:rPr>
          <w:rFonts w:hint="default" w:ascii="Times New Roman" w:hAnsi="Times New Roman" w:eastAsia="仿宋" w:cs="Times New Roman"/>
          <w:color w:val="333333"/>
          <w:spacing w:val="8"/>
          <w:sz w:val="32"/>
          <w:szCs w:val="32"/>
          <w:lang w:eastAsia="zh-CN"/>
        </w:rPr>
        <w:t>试行</w:t>
      </w:r>
      <w:r>
        <w:rPr>
          <w:rFonts w:hint="eastAsia" w:ascii="Times New Roman" w:hAnsi="Times New Roman" w:eastAsia="仿宋" w:cs="Times New Roman"/>
          <w:color w:val="333333"/>
          <w:spacing w:val="8"/>
          <w:sz w:val="32"/>
          <w:szCs w:val="32"/>
          <w:lang w:eastAsia="zh-CN"/>
        </w:rPr>
        <w:t>）</w:t>
      </w:r>
      <w:r>
        <w:rPr>
          <w:rFonts w:hint="default" w:ascii="Times New Roman" w:hAnsi="Times New Roman" w:eastAsia="仿宋" w:cs="Times New Roman"/>
          <w:color w:val="333333"/>
          <w:spacing w:val="8"/>
          <w:sz w:val="32"/>
          <w:szCs w:val="32"/>
          <w:lang w:eastAsia="zh-CN"/>
        </w:rPr>
        <w:t>》</w:t>
      </w:r>
      <w:r>
        <w:rPr>
          <w:rFonts w:hint="eastAsia" w:ascii="Times New Roman" w:hAnsi="Times New Roman" w:eastAsia="仿宋" w:cs="Times New Roman"/>
          <w:color w:val="333333"/>
          <w:spacing w:val="8"/>
          <w:sz w:val="32"/>
          <w:szCs w:val="32"/>
          <w:lang w:eastAsia="zh-CN"/>
        </w:rPr>
        <w:t>，</w:t>
      </w:r>
      <w:r>
        <w:rPr>
          <w:rFonts w:hint="default" w:ascii="Times New Roman" w:hAnsi="Times New Roman" w:eastAsia="仿宋" w:cs="Times New Roman"/>
          <w:color w:val="333333"/>
          <w:spacing w:val="8"/>
          <w:sz w:val="32"/>
          <w:szCs w:val="32"/>
          <w:lang w:eastAsia="zh-CN"/>
        </w:rPr>
        <w:t>其中工业用地类项目</w:t>
      </w:r>
      <w:r>
        <w:rPr>
          <w:rFonts w:hint="eastAsia" w:ascii="Times New Roman" w:hAnsi="Times New Roman" w:eastAsia="仿宋" w:cs="Times New Roman"/>
          <w:color w:val="333333"/>
          <w:spacing w:val="8"/>
          <w:sz w:val="32"/>
          <w:szCs w:val="32"/>
          <w:lang w:val="en-US" w:eastAsia="zh-CN"/>
        </w:rPr>
        <w:t>3</w:t>
      </w:r>
      <w:r>
        <w:rPr>
          <w:rFonts w:hint="default" w:ascii="Times New Roman" w:hAnsi="Times New Roman" w:eastAsia="仿宋" w:cs="Times New Roman"/>
          <w:color w:val="333333"/>
          <w:spacing w:val="8"/>
          <w:sz w:val="32"/>
          <w:szCs w:val="32"/>
          <w:lang w:eastAsia="zh-CN"/>
        </w:rPr>
        <w:t>个</w:t>
      </w:r>
      <w:r>
        <w:rPr>
          <w:rFonts w:hint="eastAsia" w:ascii="Times New Roman" w:hAnsi="Times New Roman" w:eastAsia="仿宋" w:cs="Times New Roman"/>
          <w:color w:val="333333"/>
          <w:spacing w:val="8"/>
          <w:sz w:val="32"/>
          <w:szCs w:val="32"/>
          <w:lang w:eastAsia="zh-CN"/>
        </w:rPr>
        <w:t>，</w:t>
      </w:r>
      <w:r>
        <w:rPr>
          <w:rFonts w:hint="default" w:ascii="Times New Roman" w:hAnsi="Times New Roman" w:eastAsia="仿宋" w:cs="Times New Roman"/>
          <w:color w:val="333333"/>
          <w:spacing w:val="8"/>
          <w:sz w:val="32"/>
          <w:szCs w:val="32"/>
          <w:lang w:val="en-US" w:eastAsia="zh-CN"/>
        </w:rPr>
        <w:t>城镇村道路</w:t>
      </w:r>
      <w:r>
        <w:rPr>
          <w:rFonts w:hint="eastAsia" w:ascii="Times New Roman" w:hAnsi="Times New Roman" w:eastAsia="仿宋" w:cs="Times New Roman"/>
          <w:color w:val="333333"/>
          <w:spacing w:val="8"/>
          <w:sz w:val="32"/>
          <w:szCs w:val="32"/>
          <w:lang w:eastAsia="zh-CN"/>
        </w:rPr>
        <w:t>用地</w:t>
      </w:r>
      <w:r>
        <w:rPr>
          <w:rFonts w:hint="eastAsia" w:ascii="Times New Roman" w:hAnsi="Times New Roman" w:eastAsia="仿宋" w:cs="Times New Roman"/>
          <w:color w:val="333333"/>
          <w:spacing w:val="8"/>
          <w:sz w:val="32"/>
          <w:szCs w:val="32"/>
          <w:lang w:val="en-US" w:eastAsia="zh-CN"/>
        </w:rPr>
        <w:t>类项目1</w:t>
      </w:r>
      <w:r>
        <w:rPr>
          <w:rFonts w:hint="default" w:ascii="Times New Roman" w:hAnsi="Times New Roman" w:eastAsia="仿宋" w:cs="Times New Roman"/>
          <w:color w:val="333333"/>
          <w:spacing w:val="8"/>
          <w:sz w:val="32"/>
          <w:szCs w:val="32"/>
          <w:lang w:eastAsia="zh-CN"/>
        </w:rPr>
        <w:t>个、</w:t>
      </w:r>
      <w:r>
        <w:rPr>
          <w:rFonts w:hint="eastAsia" w:ascii="Times New Roman" w:hAnsi="Times New Roman" w:eastAsia="仿宋" w:cs="Times New Roman"/>
          <w:color w:val="333333"/>
          <w:spacing w:val="8"/>
          <w:sz w:val="32"/>
          <w:szCs w:val="32"/>
          <w:lang w:eastAsia="zh-CN"/>
        </w:rPr>
        <w:t>社会停车场用地</w:t>
      </w:r>
      <w:r>
        <w:rPr>
          <w:rFonts w:hint="default" w:ascii="Times New Roman" w:hAnsi="Times New Roman" w:eastAsia="仿宋" w:cs="Times New Roman"/>
          <w:color w:val="333333"/>
          <w:spacing w:val="8"/>
          <w:sz w:val="32"/>
          <w:szCs w:val="32"/>
          <w:lang w:eastAsia="zh-CN"/>
        </w:rPr>
        <w:t>类项目</w:t>
      </w:r>
      <w:r>
        <w:rPr>
          <w:rFonts w:hint="eastAsia" w:ascii="Times New Roman" w:hAnsi="Times New Roman" w:eastAsia="仿宋" w:cs="Times New Roman"/>
          <w:color w:val="333333"/>
          <w:spacing w:val="8"/>
          <w:sz w:val="32"/>
          <w:szCs w:val="32"/>
          <w:lang w:val="en-US" w:eastAsia="zh-CN"/>
        </w:rPr>
        <w:t>1个，公园绿地用地类</w:t>
      </w:r>
      <w:r>
        <w:rPr>
          <w:rFonts w:hint="default" w:ascii="Times New Roman" w:hAnsi="Times New Roman" w:eastAsia="仿宋" w:cs="Times New Roman"/>
          <w:color w:val="333333"/>
          <w:spacing w:val="8"/>
          <w:sz w:val="32"/>
          <w:szCs w:val="32"/>
          <w:lang w:eastAsia="zh-CN"/>
        </w:rPr>
        <w:t>项目</w:t>
      </w:r>
      <w:r>
        <w:rPr>
          <w:rFonts w:hint="eastAsia" w:ascii="Times New Roman" w:hAnsi="Times New Roman" w:eastAsia="仿宋" w:cs="Times New Roman"/>
          <w:color w:val="333333"/>
          <w:spacing w:val="8"/>
          <w:sz w:val="32"/>
          <w:szCs w:val="32"/>
          <w:lang w:val="en-US" w:eastAsia="zh-CN"/>
        </w:rPr>
        <w:t>5</w:t>
      </w:r>
      <w:r>
        <w:rPr>
          <w:rFonts w:hint="default" w:ascii="Times New Roman" w:hAnsi="Times New Roman" w:eastAsia="仿宋" w:cs="Times New Roman"/>
          <w:color w:val="333333"/>
          <w:spacing w:val="8"/>
          <w:sz w:val="32"/>
          <w:szCs w:val="32"/>
          <w:lang w:eastAsia="zh-CN"/>
        </w:rPr>
        <w:t>个</w:t>
      </w:r>
      <w:r>
        <w:rPr>
          <w:rFonts w:hint="eastAsia" w:ascii="Times New Roman" w:hAnsi="Times New Roman" w:eastAsia="仿宋" w:cs="Times New Roman"/>
          <w:color w:val="333333"/>
          <w:spacing w:val="8"/>
          <w:sz w:val="32"/>
          <w:szCs w:val="32"/>
          <w:lang w:eastAsia="zh-CN"/>
        </w:rPr>
        <w:t>，</w:t>
      </w:r>
      <w:r>
        <w:rPr>
          <w:rFonts w:hint="eastAsia" w:ascii="Times New Roman" w:hAnsi="Times New Roman" w:eastAsia="仿宋" w:cs="Times New Roman"/>
          <w:color w:val="333333"/>
          <w:spacing w:val="8"/>
          <w:sz w:val="32"/>
          <w:szCs w:val="32"/>
          <w:lang w:val="en-US" w:eastAsia="zh-CN"/>
        </w:rPr>
        <w:t>体育用地项目类有2个</w:t>
      </w:r>
      <w:r>
        <w:rPr>
          <w:rFonts w:hint="default" w:ascii="Times New Roman" w:hAnsi="Times New Roman" w:eastAsia="仿宋" w:cs="Times New Roman"/>
          <w:color w:val="333333"/>
          <w:spacing w:val="8"/>
          <w:sz w:val="32"/>
          <w:szCs w:val="32"/>
          <w:lang w:eastAsia="zh-CN"/>
        </w:rPr>
        <w:t>。详见下表：</w:t>
      </w:r>
    </w:p>
    <w:tbl>
      <w:tblPr>
        <w:tblStyle w:val="20"/>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317"/>
        <w:gridCol w:w="2983"/>
        <w:gridCol w:w="2798"/>
        <w:gridCol w:w="1846"/>
      </w:tblGrid>
      <w:tr w14:paraId="47E93F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blHeader/>
        </w:trPr>
        <w:tc>
          <w:tcPr>
            <w:tcW w:w="736" w:type="pct"/>
            <w:tcBorders>
              <w:tl2br w:val="nil"/>
              <w:tr2bl w:val="nil"/>
            </w:tcBorders>
            <w:shd w:val="clear" w:color="auto" w:fill="auto"/>
            <w:noWrap/>
            <w:vAlign w:val="center"/>
          </w:tcPr>
          <w:p w14:paraId="2F200C9A">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ascii="仿宋" w:hAnsi="仿宋" w:eastAsia="仿宋" w:cs="仿宋"/>
                <w:b/>
                <w:bCs/>
                <w:i w:val="0"/>
                <w:iCs w:val="0"/>
                <w:color w:val="000000"/>
                <w:kern w:val="0"/>
                <w:sz w:val="22"/>
                <w:szCs w:val="22"/>
                <w:u w:val="none"/>
                <w:lang w:val="en-US" w:eastAsia="zh-CN" w:bidi="ar"/>
              </w:rPr>
              <w:t>区片</w:t>
            </w:r>
          </w:p>
        </w:tc>
        <w:tc>
          <w:tcPr>
            <w:tcW w:w="1667" w:type="pct"/>
            <w:tcBorders>
              <w:tl2br w:val="nil"/>
              <w:tr2bl w:val="nil"/>
            </w:tcBorders>
            <w:shd w:val="clear" w:color="auto" w:fill="auto"/>
            <w:noWrap/>
            <w:vAlign w:val="center"/>
          </w:tcPr>
          <w:p w14:paraId="0D71B82E">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ascii="仿宋" w:hAnsi="仿宋" w:eastAsia="仿宋" w:cs="仿宋"/>
                <w:b/>
                <w:bCs/>
                <w:i w:val="0"/>
                <w:iCs w:val="0"/>
                <w:color w:val="000000"/>
                <w:kern w:val="0"/>
                <w:sz w:val="22"/>
                <w:szCs w:val="22"/>
                <w:u w:val="none"/>
                <w:lang w:val="en-US" w:eastAsia="zh-CN" w:bidi="ar"/>
              </w:rPr>
              <w:t>地块名称</w:t>
            </w:r>
          </w:p>
        </w:tc>
        <w:tc>
          <w:tcPr>
            <w:tcW w:w="1564" w:type="pct"/>
            <w:tcBorders>
              <w:tl2br w:val="nil"/>
              <w:tr2bl w:val="nil"/>
            </w:tcBorders>
            <w:shd w:val="clear" w:color="auto" w:fill="auto"/>
            <w:noWrap/>
            <w:vAlign w:val="center"/>
          </w:tcPr>
          <w:p w14:paraId="2769D7FE">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ascii="仿宋" w:hAnsi="仿宋" w:eastAsia="仿宋" w:cs="仿宋"/>
                <w:b/>
                <w:bCs/>
                <w:i w:val="0"/>
                <w:iCs w:val="0"/>
                <w:color w:val="000000"/>
                <w:kern w:val="0"/>
                <w:sz w:val="22"/>
                <w:szCs w:val="22"/>
                <w:u w:val="none"/>
                <w:lang w:val="en-US" w:eastAsia="zh-CN" w:bidi="ar"/>
              </w:rPr>
              <w:t>地类名称</w:t>
            </w:r>
          </w:p>
        </w:tc>
        <w:tc>
          <w:tcPr>
            <w:tcW w:w="1032" w:type="pct"/>
            <w:tcBorders>
              <w:tl2br w:val="nil"/>
              <w:tr2bl w:val="nil"/>
            </w:tcBorders>
            <w:shd w:val="clear" w:color="auto" w:fill="auto"/>
            <w:noWrap/>
            <w:vAlign w:val="center"/>
          </w:tcPr>
          <w:p w14:paraId="2DDA5F3A">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ascii="仿宋" w:hAnsi="仿宋" w:eastAsia="仿宋" w:cs="仿宋"/>
                <w:b/>
                <w:bCs/>
                <w:i w:val="0"/>
                <w:iCs w:val="0"/>
                <w:color w:val="000000"/>
                <w:kern w:val="0"/>
                <w:sz w:val="22"/>
                <w:szCs w:val="22"/>
                <w:u w:val="none"/>
                <w:lang w:val="en-US" w:eastAsia="zh-CN" w:bidi="ar"/>
              </w:rPr>
              <w:t>面积（公顷）</w:t>
            </w:r>
          </w:p>
        </w:tc>
      </w:tr>
      <w:tr w14:paraId="7A8B29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restart"/>
            <w:tcBorders>
              <w:tl2br w:val="nil"/>
              <w:tr2bl w:val="nil"/>
            </w:tcBorders>
            <w:shd w:val="clear" w:color="auto" w:fill="auto"/>
            <w:noWrap/>
            <w:vAlign w:val="center"/>
          </w:tcPr>
          <w:p w14:paraId="194D305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区片</w:t>
            </w:r>
            <w:r>
              <w:rPr>
                <w:rFonts w:hint="default" w:ascii="Times New Roman" w:hAnsi="Times New Roman" w:eastAsia="宋体" w:cs="Times New Roman"/>
                <w:i w:val="0"/>
                <w:iCs w:val="0"/>
                <w:color w:val="000000"/>
                <w:kern w:val="0"/>
                <w:sz w:val="22"/>
                <w:szCs w:val="22"/>
                <w:u w:val="none"/>
                <w:lang w:val="en-US" w:eastAsia="zh-CN" w:bidi="ar"/>
              </w:rPr>
              <w:t>1</w:t>
            </w:r>
          </w:p>
        </w:tc>
        <w:tc>
          <w:tcPr>
            <w:tcW w:w="1667" w:type="pct"/>
            <w:vMerge w:val="restart"/>
            <w:tcBorders>
              <w:tl2br w:val="nil"/>
              <w:tr2bl w:val="nil"/>
            </w:tcBorders>
            <w:shd w:val="clear" w:color="auto" w:fill="auto"/>
            <w:noWrap/>
            <w:vAlign w:val="center"/>
          </w:tcPr>
          <w:p w14:paraId="4789097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2023-13-1</w:t>
            </w:r>
          </w:p>
        </w:tc>
        <w:tc>
          <w:tcPr>
            <w:tcW w:w="1564" w:type="pct"/>
            <w:tcBorders>
              <w:tl2br w:val="nil"/>
              <w:tr2bl w:val="nil"/>
            </w:tcBorders>
            <w:shd w:val="clear" w:color="auto" w:fill="auto"/>
            <w:noWrap/>
            <w:vAlign w:val="center"/>
          </w:tcPr>
          <w:p w14:paraId="1CAE01C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小计</w:t>
            </w:r>
          </w:p>
        </w:tc>
        <w:tc>
          <w:tcPr>
            <w:tcW w:w="1032" w:type="pct"/>
            <w:tcBorders>
              <w:tl2br w:val="nil"/>
              <w:tr2bl w:val="nil"/>
            </w:tcBorders>
            <w:shd w:val="clear" w:color="auto" w:fill="auto"/>
            <w:noWrap/>
            <w:vAlign w:val="center"/>
          </w:tcPr>
          <w:p w14:paraId="15CE3D0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5.2155</w:t>
            </w:r>
          </w:p>
        </w:tc>
      </w:tr>
      <w:tr w14:paraId="1C7F86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7881224A">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3BAC938A">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07318A5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城镇村道路用地</w:t>
            </w:r>
          </w:p>
        </w:tc>
        <w:tc>
          <w:tcPr>
            <w:tcW w:w="1032" w:type="pct"/>
            <w:tcBorders>
              <w:tl2br w:val="nil"/>
              <w:tr2bl w:val="nil"/>
            </w:tcBorders>
            <w:shd w:val="clear" w:color="auto" w:fill="auto"/>
            <w:noWrap/>
            <w:vAlign w:val="center"/>
          </w:tcPr>
          <w:p w14:paraId="07C1499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0.1869</w:t>
            </w:r>
          </w:p>
        </w:tc>
      </w:tr>
      <w:tr w14:paraId="4F7D8F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53597CFE">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274BBA7B">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1A9534F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城镇住宅用地</w:t>
            </w:r>
          </w:p>
        </w:tc>
        <w:tc>
          <w:tcPr>
            <w:tcW w:w="1032" w:type="pct"/>
            <w:tcBorders>
              <w:tl2br w:val="nil"/>
              <w:tr2bl w:val="nil"/>
            </w:tcBorders>
            <w:shd w:val="clear" w:color="auto" w:fill="auto"/>
            <w:noWrap/>
            <w:vAlign w:val="center"/>
          </w:tcPr>
          <w:p w14:paraId="18A40FA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0.1411</w:t>
            </w:r>
          </w:p>
        </w:tc>
      </w:tr>
      <w:tr w14:paraId="38EF47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538FA214">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7A0E1F96">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0BD6DB1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工业用地</w:t>
            </w:r>
          </w:p>
        </w:tc>
        <w:tc>
          <w:tcPr>
            <w:tcW w:w="1032" w:type="pct"/>
            <w:tcBorders>
              <w:tl2br w:val="nil"/>
              <w:tr2bl w:val="nil"/>
            </w:tcBorders>
            <w:shd w:val="clear" w:color="auto" w:fill="auto"/>
            <w:noWrap/>
            <w:vAlign w:val="center"/>
          </w:tcPr>
          <w:p w14:paraId="472C374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0.2862</w:t>
            </w:r>
          </w:p>
        </w:tc>
      </w:tr>
      <w:tr w14:paraId="068F04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70FE7FDA">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6DA77021">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2410D7E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公园与绿地</w:t>
            </w:r>
          </w:p>
        </w:tc>
        <w:tc>
          <w:tcPr>
            <w:tcW w:w="1032" w:type="pct"/>
            <w:tcBorders>
              <w:tl2br w:val="nil"/>
              <w:tr2bl w:val="nil"/>
            </w:tcBorders>
            <w:shd w:val="clear" w:color="auto" w:fill="auto"/>
            <w:noWrap/>
            <w:vAlign w:val="center"/>
          </w:tcPr>
          <w:p w14:paraId="733D324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1.4388</w:t>
            </w:r>
          </w:p>
        </w:tc>
      </w:tr>
      <w:tr w14:paraId="6A1AAA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38EAD705">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4F0C383A">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6D4C2B8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果园</w:t>
            </w:r>
          </w:p>
        </w:tc>
        <w:tc>
          <w:tcPr>
            <w:tcW w:w="1032" w:type="pct"/>
            <w:tcBorders>
              <w:tl2br w:val="nil"/>
              <w:tr2bl w:val="nil"/>
            </w:tcBorders>
            <w:shd w:val="clear" w:color="auto" w:fill="auto"/>
            <w:noWrap/>
            <w:vAlign w:val="center"/>
          </w:tcPr>
          <w:p w14:paraId="77B862D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0.9937</w:t>
            </w:r>
          </w:p>
        </w:tc>
      </w:tr>
      <w:tr w14:paraId="10E809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2B3DE274">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2AACA30E">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6041B7A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旱地</w:t>
            </w:r>
          </w:p>
        </w:tc>
        <w:tc>
          <w:tcPr>
            <w:tcW w:w="1032" w:type="pct"/>
            <w:tcBorders>
              <w:tl2br w:val="nil"/>
              <w:tr2bl w:val="nil"/>
            </w:tcBorders>
            <w:shd w:val="clear" w:color="auto" w:fill="auto"/>
            <w:noWrap/>
            <w:vAlign w:val="center"/>
          </w:tcPr>
          <w:p w14:paraId="467E0F9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0.9653</w:t>
            </w:r>
          </w:p>
        </w:tc>
      </w:tr>
      <w:tr w14:paraId="6C2822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37E9A753">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1A815B3D">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16296EC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裸土地</w:t>
            </w:r>
          </w:p>
        </w:tc>
        <w:tc>
          <w:tcPr>
            <w:tcW w:w="1032" w:type="pct"/>
            <w:tcBorders>
              <w:tl2br w:val="nil"/>
              <w:tr2bl w:val="nil"/>
            </w:tcBorders>
            <w:shd w:val="clear" w:color="auto" w:fill="auto"/>
            <w:noWrap/>
            <w:vAlign w:val="center"/>
          </w:tcPr>
          <w:p w14:paraId="4DB5C16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0.0442</w:t>
            </w:r>
          </w:p>
        </w:tc>
      </w:tr>
      <w:tr w14:paraId="1C9099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4ADC93E4">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348E3A9C">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0953A6F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农村道路</w:t>
            </w:r>
          </w:p>
        </w:tc>
        <w:tc>
          <w:tcPr>
            <w:tcW w:w="1032" w:type="pct"/>
            <w:tcBorders>
              <w:tl2br w:val="nil"/>
              <w:tr2bl w:val="nil"/>
            </w:tcBorders>
            <w:shd w:val="clear" w:color="auto" w:fill="auto"/>
            <w:noWrap/>
            <w:vAlign w:val="center"/>
          </w:tcPr>
          <w:p w14:paraId="186D37F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0.044</w:t>
            </w:r>
          </w:p>
        </w:tc>
      </w:tr>
      <w:tr w14:paraId="15005A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7EA7B27A">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1BD892E0">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50579AD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其他草地</w:t>
            </w:r>
          </w:p>
        </w:tc>
        <w:tc>
          <w:tcPr>
            <w:tcW w:w="1032" w:type="pct"/>
            <w:tcBorders>
              <w:tl2br w:val="nil"/>
              <w:tr2bl w:val="nil"/>
            </w:tcBorders>
            <w:shd w:val="clear" w:color="auto" w:fill="auto"/>
            <w:noWrap/>
            <w:vAlign w:val="center"/>
          </w:tcPr>
          <w:p w14:paraId="7E776B2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0.086</w:t>
            </w:r>
          </w:p>
        </w:tc>
      </w:tr>
      <w:tr w14:paraId="5E0EFA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090AC09D">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47C480B3">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3503317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其他林地</w:t>
            </w:r>
          </w:p>
        </w:tc>
        <w:tc>
          <w:tcPr>
            <w:tcW w:w="1032" w:type="pct"/>
            <w:tcBorders>
              <w:tl2br w:val="nil"/>
              <w:tr2bl w:val="nil"/>
            </w:tcBorders>
            <w:shd w:val="clear" w:color="auto" w:fill="auto"/>
            <w:noWrap/>
            <w:vAlign w:val="center"/>
          </w:tcPr>
          <w:p w14:paraId="1362143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0.7419</w:t>
            </w:r>
          </w:p>
        </w:tc>
      </w:tr>
      <w:tr w14:paraId="2428C5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3781C0DD">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782B91EB">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47964AD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乔木林地</w:t>
            </w:r>
          </w:p>
        </w:tc>
        <w:tc>
          <w:tcPr>
            <w:tcW w:w="1032" w:type="pct"/>
            <w:tcBorders>
              <w:tl2br w:val="nil"/>
              <w:tr2bl w:val="nil"/>
            </w:tcBorders>
            <w:shd w:val="clear" w:color="auto" w:fill="auto"/>
            <w:noWrap/>
            <w:vAlign w:val="center"/>
          </w:tcPr>
          <w:p w14:paraId="5DBBFD8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0.2666</w:t>
            </w:r>
          </w:p>
        </w:tc>
      </w:tr>
      <w:tr w14:paraId="77AB5E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68B0087F">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37DE5C86">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1BF049C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商业服务业设施用地</w:t>
            </w:r>
          </w:p>
        </w:tc>
        <w:tc>
          <w:tcPr>
            <w:tcW w:w="1032" w:type="pct"/>
            <w:tcBorders>
              <w:tl2br w:val="nil"/>
              <w:tr2bl w:val="nil"/>
            </w:tcBorders>
            <w:shd w:val="clear" w:color="auto" w:fill="auto"/>
            <w:noWrap/>
            <w:vAlign w:val="center"/>
          </w:tcPr>
          <w:p w14:paraId="4AEAAF4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0.0046</w:t>
            </w:r>
          </w:p>
        </w:tc>
      </w:tr>
      <w:tr w14:paraId="72A16D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27039402">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33BF87BD">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4177882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物流仓储用地</w:t>
            </w:r>
          </w:p>
        </w:tc>
        <w:tc>
          <w:tcPr>
            <w:tcW w:w="1032" w:type="pct"/>
            <w:tcBorders>
              <w:tl2br w:val="nil"/>
              <w:tr2bl w:val="nil"/>
            </w:tcBorders>
            <w:shd w:val="clear" w:color="auto" w:fill="auto"/>
            <w:noWrap/>
            <w:vAlign w:val="center"/>
          </w:tcPr>
          <w:p w14:paraId="2E3BBA0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0.016</w:t>
            </w:r>
          </w:p>
        </w:tc>
      </w:tr>
      <w:tr w14:paraId="7FD6DA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21DD4640">
            <w:pPr>
              <w:jc w:val="center"/>
              <w:rPr>
                <w:rFonts w:hint="default" w:ascii="Times New Roman" w:hAnsi="Times New Roman" w:eastAsia="宋体" w:cs="Times New Roman"/>
                <w:i w:val="0"/>
                <w:iCs w:val="0"/>
                <w:color w:val="000000"/>
                <w:sz w:val="22"/>
                <w:szCs w:val="22"/>
                <w:u w:val="none"/>
              </w:rPr>
            </w:pPr>
          </w:p>
        </w:tc>
        <w:tc>
          <w:tcPr>
            <w:tcW w:w="1667" w:type="pct"/>
            <w:vMerge w:val="restart"/>
            <w:tcBorders>
              <w:tl2br w:val="nil"/>
              <w:tr2bl w:val="nil"/>
            </w:tcBorders>
            <w:shd w:val="clear" w:color="auto" w:fill="auto"/>
            <w:noWrap/>
            <w:vAlign w:val="center"/>
          </w:tcPr>
          <w:p w14:paraId="29A720A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2023-13-2</w:t>
            </w:r>
          </w:p>
        </w:tc>
        <w:tc>
          <w:tcPr>
            <w:tcW w:w="1564" w:type="pct"/>
            <w:tcBorders>
              <w:tl2br w:val="nil"/>
              <w:tr2bl w:val="nil"/>
            </w:tcBorders>
            <w:shd w:val="clear" w:color="auto" w:fill="auto"/>
            <w:noWrap/>
            <w:vAlign w:val="center"/>
          </w:tcPr>
          <w:p w14:paraId="7491ED8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小计</w:t>
            </w:r>
          </w:p>
        </w:tc>
        <w:tc>
          <w:tcPr>
            <w:tcW w:w="1032" w:type="pct"/>
            <w:tcBorders>
              <w:tl2br w:val="nil"/>
              <w:tr2bl w:val="nil"/>
            </w:tcBorders>
            <w:shd w:val="clear" w:color="auto" w:fill="auto"/>
            <w:noWrap/>
            <w:vAlign w:val="center"/>
          </w:tcPr>
          <w:p w14:paraId="329EA5E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1.709</w:t>
            </w:r>
          </w:p>
        </w:tc>
      </w:tr>
      <w:tr w14:paraId="24324A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425AF385">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2AAA73A5">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5A2F961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城镇村道路用地</w:t>
            </w:r>
          </w:p>
        </w:tc>
        <w:tc>
          <w:tcPr>
            <w:tcW w:w="1032" w:type="pct"/>
            <w:tcBorders>
              <w:tl2br w:val="nil"/>
              <w:tr2bl w:val="nil"/>
            </w:tcBorders>
            <w:shd w:val="clear" w:color="auto" w:fill="auto"/>
            <w:noWrap/>
            <w:vAlign w:val="center"/>
          </w:tcPr>
          <w:p w14:paraId="317E307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0.0694</w:t>
            </w:r>
          </w:p>
        </w:tc>
      </w:tr>
      <w:tr w14:paraId="460100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564E6037">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0DFDEB15">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561ACA2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城镇住宅用地</w:t>
            </w:r>
          </w:p>
        </w:tc>
        <w:tc>
          <w:tcPr>
            <w:tcW w:w="1032" w:type="pct"/>
            <w:tcBorders>
              <w:tl2br w:val="nil"/>
              <w:tr2bl w:val="nil"/>
            </w:tcBorders>
            <w:shd w:val="clear" w:color="auto" w:fill="auto"/>
            <w:noWrap/>
            <w:vAlign w:val="center"/>
          </w:tcPr>
          <w:p w14:paraId="678B3D9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0.0377</w:t>
            </w:r>
          </w:p>
        </w:tc>
      </w:tr>
      <w:tr w14:paraId="451805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188FEAF1">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4904CFC1">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4C00524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工业用地</w:t>
            </w:r>
          </w:p>
        </w:tc>
        <w:tc>
          <w:tcPr>
            <w:tcW w:w="1032" w:type="pct"/>
            <w:tcBorders>
              <w:tl2br w:val="nil"/>
              <w:tr2bl w:val="nil"/>
            </w:tcBorders>
            <w:shd w:val="clear" w:color="auto" w:fill="auto"/>
            <w:noWrap/>
            <w:vAlign w:val="center"/>
          </w:tcPr>
          <w:p w14:paraId="42889C0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0.0745</w:t>
            </w:r>
          </w:p>
        </w:tc>
      </w:tr>
      <w:tr w14:paraId="16535F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4AA8456B">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04A04B6C">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43C1EDE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公用设施用地</w:t>
            </w:r>
          </w:p>
        </w:tc>
        <w:tc>
          <w:tcPr>
            <w:tcW w:w="1032" w:type="pct"/>
            <w:tcBorders>
              <w:tl2br w:val="nil"/>
              <w:tr2bl w:val="nil"/>
            </w:tcBorders>
            <w:shd w:val="clear" w:color="auto" w:fill="auto"/>
            <w:noWrap/>
            <w:vAlign w:val="center"/>
          </w:tcPr>
          <w:p w14:paraId="469B61C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0.0057</w:t>
            </w:r>
          </w:p>
        </w:tc>
      </w:tr>
      <w:tr w14:paraId="50FB1D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62ECF6FC">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77AF9C41">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59AD1F8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公园与绿地</w:t>
            </w:r>
          </w:p>
        </w:tc>
        <w:tc>
          <w:tcPr>
            <w:tcW w:w="1032" w:type="pct"/>
            <w:tcBorders>
              <w:tl2br w:val="nil"/>
              <w:tr2bl w:val="nil"/>
            </w:tcBorders>
            <w:shd w:val="clear" w:color="auto" w:fill="auto"/>
            <w:noWrap/>
            <w:vAlign w:val="center"/>
          </w:tcPr>
          <w:p w14:paraId="3081E80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0.218</w:t>
            </w:r>
          </w:p>
        </w:tc>
      </w:tr>
      <w:tr w14:paraId="1BA785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6E451F2D">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624708FA">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74507EF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旱地</w:t>
            </w:r>
          </w:p>
        </w:tc>
        <w:tc>
          <w:tcPr>
            <w:tcW w:w="1032" w:type="pct"/>
            <w:tcBorders>
              <w:tl2br w:val="nil"/>
              <w:tr2bl w:val="nil"/>
            </w:tcBorders>
            <w:shd w:val="clear" w:color="auto" w:fill="auto"/>
            <w:noWrap/>
            <w:vAlign w:val="center"/>
          </w:tcPr>
          <w:p w14:paraId="2529182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0.2434</w:t>
            </w:r>
          </w:p>
        </w:tc>
      </w:tr>
      <w:tr w14:paraId="4DFD54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70C1257E">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2CBFE0C7">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41936F6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科教文卫用地</w:t>
            </w:r>
          </w:p>
        </w:tc>
        <w:tc>
          <w:tcPr>
            <w:tcW w:w="1032" w:type="pct"/>
            <w:tcBorders>
              <w:tl2br w:val="nil"/>
              <w:tr2bl w:val="nil"/>
            </w:tcBorders>
            <w:shd w:val="clear" w:color="auto" w:fill="auto"/>
            <w:noWrap/>
            <w:vAlign w:val="center"/>
          </w:tcPr>
          <w:p w14:paraId="1CC698B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0.9389</w:t>
            </w:r>
          </w:p>
        </w:tc>
      </w:tr>
      <w:tr w14:paraId="321412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119E3AC9">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49B960A1">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23915AC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其他草地</w:t>
            </w:r>
          </w:p>
        </w:tc>
        <w:tc>
          <w:tcPr>
            <w:tcW w:w="1032" w:type="pct"/>
            <w:tcBorders>
              <w:tl2br w:val="nil"/>
              <w:tr2bl w:val="nil"/>
            </w:tcBorders>
            <w:shd w:val="clear" w:color="auto" w:fill="auto"/>
            <w:noWrap/>
            <w:vAlign w:val="center"/>
          </w:tcPr>
          <w:p w14:paraId="15A8920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0.092</w:t>
            </w:r>
          </w:p>
        </w:tc>
      </w:tr>
      <w:tr w14:paraId="30EBEC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410740F0">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466CFF6E">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5D64E80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其他林地</w:t>
            </w:r>
          </w:p>
        </w:tc>
        <w:tc>
          <w:tcPr>
            <w:tcW w:w="1032" w:type="pct"/>
            <w:tcBorders>
              <w:tl2br w:val="nil"/>
              <w:tr2bl w:val="nil"/>
            </w:tcBorders>
            <w:shd w:val="clear" w:color="auto" w:fill="auto"/>
            <w:noWrap/>
            <w:vAlign w:val="center"/>
          </w:tcPr>
          <w:p w14:paraId="5DEB22F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0.0242</w:t>
            </w:r>
          </w:p>
        </w:tc>
      </w:tr>
      <w:tr w14:paraId="49DFE3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0350E20B">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3B96AAF5">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29BCBC0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乔木林地</w:t>
            </w:r>
          </w:p>
        </w:tc>
        <w:tc>
          <w:tcPr>
            <w:tcW w:w="1032" w:type="pct"/>
            <w:tcBorders>
              <w:tl2br w:val="nil"/>
              <w:tr2bl w:val="nil"/>
            </w:tcBorders>
            <w:shd w:val="clear" w:color="auto" w:fill="auto"/>
            <w:noWrap/>
            <w:vAlign w:val="center"/>
          </w:tcPr>
          <w:p w14:paraId="140E6A1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0.0052</w:t>
            </w:r>
          </w:p>
        </w:tc>
      </w:tr>
      <w:tr w14:paraId="787DB7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restart"/>
            <w:tcBorders>
              <w:tl2br w:val="nil"/>
              <w:tr2bl w:val="nil"/>
            </w:tcBorders>
            <w:shd w:val="clear" w:color="auto" w:fill="auto"/>
            <w:noWrap/>
            <w:vAlign w:val="center"/>
          </w:tcPr>
          <w:p w14:paraId="3586F9D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区片</w:t>
            </w:r>
            <w:r>
              <w:rPr>
                <w:rFonts w:hint="default" w:ascii="Times New Roman" w:hAnsi="Times New Roman" w:eastAsia="宋体" w:cs="Times New Roman"/>
                <w:i w:val="0"/>
                <w:iCs w:val="0"/>
                <w:color w:val="000000"/>
                <w:kern w:val="0"/>
                <w:sz w:val="22"/>
                <w:szCs w:val="22"/>
                <w:u w:val="none"/>
                <w:lang w:val="en-US" w:eastAsia="zh-CN" w:bidi="ar"/>
              </w:rPr>
              <w:t>2</w:t>
            </w:r>
          </w:p>
        </w:tc>
        <w:tc>
          <w:tcPr>
            <w:tcW w:w="1667" w:type="pct"/>
            <w:vMerge w:val="restart"/>
            <w:tcBorders>
              <w:tl2br w:val="nil"/>
              <w:tr2bl w:val="nil"/>
            </w:tcBorders>
            <w:shd w:val="clear" w:color="auto" w:fill="auto"/>
            <w:noWrap/>
            <w:vAlign w:val="center"/>
          </w:tcPr>
          <w:p w14:paraId="654E2B4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2023-13-3</w:t>
            </w:r>
          </w:p>
        </w:tc>
        <w:tc>
          <w:tcPr>
            <w:tcW w:w="1564" w:type="pct"/>
            <w:tcBorders>
              <w:tl2br w:val="nil"/>
              <w:tr2bl w:val="nil"/>
            </w:tcBorders>
            <w:shd w:val="clear" w:color="auto" w:fill="auto"/>
            <w:noWrap/>
            <w:vAlign w:val="center"/>
          </w:tcPr>
          <w:p w14:paraId="6022540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小计</w:t>
            </w:r>
          </w:p>
        </w:tc>
        <w:tc>
          <w:tcPr>
            <w:tcW w:w="1032" w:type="pct"/>
            <w:tcBorders>
              <w:tl2br w:val="nil"/>
              <w:tr2bl w:val="nil"/>
            </w:tcBorders>
            <w:shd w:val="clear" w:color="auto" w:fill="auto"/>
            <w:noWrap/>
            <w:vAlign w:val="center"/>
          </w:tcPr>
          <w:p w14:paraId="1FCD425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0.1799</w:t>
            </w:r>
          </w:p>
        </w:tc>
      </w:tr>
      <w:tr w14:paraId="0E3129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544F2AD6">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7DF0F1E0">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7852C17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公园与绿地</w:t>
            </w:r>
          </w:p>
        </w:tc>
        <w:tc>
          <w:tcPr>
            <w:tcW w:w="1032" w:type="pct"/>
            <w:tcBorders>
              <w:tl2br w:val="nil"/>
              <w:tr2bl w:val="nil"/>
            </w:tcBorders>
            <w:shd w:val="clear" w:color="auto" w:fill="auto"/>
            <w:noWrap/>
            <w:vAlign w:val="center"/>
          </w:tcPr>
          <w:p w14:paraId="26E316F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0.0853</w:t>
            </w:r>
          </w:p>
        </w:tc>
      </w:tr>
      <w:tr w14:paraId="31CD40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321EB72A">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0AB40009">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6770AEF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科教文卫用地</w:t>
            </w:r>
          </w:p>
        </w:tc>
        <w:tc>
          <w:tcPr>
            <w:tcW w:w="1032" w:type="pct"/>
            <w:tcBorders>
              <w:tl2br w:val="nil"/>
              <w:tr2bl w:val="nil"/>
            </w:tcBorders>
            <w:shd w:val="clear" w:color="auto" w:fill="auto"/>
            <w:noWrap/>
            <w:vAlign w:val="center"/>
          </w:tcPr>
          <w:p w14:paraId="54660DC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0.0946</w:t>
            </w:r>
          </w:p>
        </w:tc>
      </w:tr>
      <w:tr w14:paraId="7218B6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619477C4">
            <w:pPr>
              <w:jc w:val="center"/>
              <w:rPr>
                <w:rFonts w:hint="default" w:ascii="Times New Roman" w:hAnsi="Times New Roman" w:eastAsia="宋体" w:cs="Times New Roman"/>
                <w:i w:val="0"/>
                <w:iCs w:val="0"/>
                <w:color w:val="000000"/>
                <w:sz w:val="22"/>
                <w:szCs w:val="22"/>
                <w:u w:val="none"/>
              </w:rPr>
            </w:pPr>
          </w:p>
        </w:tc>
        <w:tc>
          <w:tcPr>
            <w:tcW w:w="1667" w:type="pct"/>
            <w:vMerge w:val="restart"/>
            <w:tcBorders>
              <w:tl2br w:val="nil"/>
              <w:tr2bl w:val="nil"/>
            </w:tcBorders>
            <w:shd w:val="clear" w:color="auto" w:fill="auto"/>
            <w:noWrap/>
            <w:vAlign w:val="center"/>
          </w:tcPr>
          <w:p w14:paraId="0B0A0C2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2023-13-4</w:t>
            </w:r>
          </w:p>
        </w:tc>
        <w:tc>
          <w:tcPr>
            <w:tcW w:w="1564" w:type="pct"/>
            <w:tcBorders>
              <w:tl2br w:val="nil"/>
              <w:tr2bl w:val="nil"/>
            </w:tcBorders>
            <w:shd w:val="clear" w:color="auto" w:fill="auto"/>
            <w:noWrap/>
            <w:vAlign w:val="center"/>
          </w:tcPr>
          <w:p w14:paraId="7ED4EA2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小计</w:t>
            </w:r>
          </w:p>
        </w:tc>
        <w:tc>
          <w:tcPr>
            <w:tcW w:w="1032" w:type="pct"/>
            <w:tcBorders>
              <w:tl2br w:val="nil"/>
              <w:tr2bl w:val="nil"/>
            </w:tcBorders>
            <w:shd w:val="clear" w:color="auto" w:fill="auto"/>
            <w:noWrap/>
            <w:vAlign w:val="center"/>
          </w:tcPr>
          <w:p w14:paraId="7D531E4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2.9458</w:t>
            </w:r>
          </w:p>
        </w:tc>
      </w:tr>
      <w:tr w14:paraId="65629B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50CD2823">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0FC45E0D">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3222AB5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城镇村道路用地</w:t>
            </w:r>
          </w:p>
        </w:tc>
        <w:tc>
          <w:tcPr>
            <w:tcW w:w="1032" w:type="pct"/>
            <w:tcBorders>
              <w:tl2br w:val="nil"/>
              <w:tr2bl w:val="nil"/>
            </w:tcBorders>
            <w:shd w:val="clear" w:color="auto" w:fill="auto"/>
            <w:noWrap/>
            <w:vAlign w:val="center"/>
          </w:tcPr>
          <w:p w14:paraId="4359512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0.0006</w:t>
            </w:r>
          </w:p>
        </w:tc>
      </w:tr>
      <w:tr w14:paraId="574826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3D2D6A7B">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3A2F3036">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57A97CB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城镇住宅用地</w:t>
            </w:r>
          </w:p>
        </w:tc>
        <w:tc>
          <w:tcPr>
            <w:tcW w:w="1032" w:type="pct"/>
            <w:tcBorders>
              <w:tl2br w:val="nil"/>
              <w:tr2bl w:val="nil"/>
            </w:tcBorders>
            <w:shd w:val="clear" w:color="auto" w:fill="auto"/>
            <w:noWrap/>
            <w:vAlign w:val="center"/>
          </w:tcPr>
          <w:p w14:paraId="1DEC582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0.0093</w:t>
            </w:r>
          </w:p>
        </w:tc>
      </w:tr>
      <w:tr w14:paraId="5D84AC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360DAA17">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0788A6AC">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3C42613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公园与绿地</w:t>
            </w:r>
          </w:p>
        </w:tc>
        <w:tc>
          <w:tcPr>
            <w:tcW w:w="1032" w:type="pct"/>
            <w:tcBorders>
              <w:tl2br w:val="nil"/>
              <w:tr2bl w:val="nil"/>
            </w:tcBorders>
            <w:shd w:val="clear" w:color="auto" w:fill="auto"/>
            <w:noWrap/>
            <w:vAlign w:val="center"/>
          </w:tcPr>
          <w:p w14:paraId="3DAED05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2.93</w:t>
            </w:r>
          </w:p>
        </w:tc>
      </w:tr>
      <w:tr w14:paraId="4FCCC3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124BA156">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28DE0AE8">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552E7D0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科教文卫用地</w:t>
            </w:r>
          </w:p>
        </w:tc>
        <w:tc>
          <w:tcPr>
            <w:tcW w:w="1032" w:type="pct"/>
            <w:tcBorders>
              <w:tl2br w:val="nil"/>
              <w:tr2bl w:val="nil"/>
            </w:tcBorders>
            <w:shd w:val="clear" w:color="auto" w:fill="auto"/>
            <w:noWrap/>
            <w:vAlign w:val="center"/>
          </w:tcPr>
          <w:p w14:paraId="7E8C2F0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0.0011</w:t>
            </w:r>
          </w:p>
        </w:tc>
      </w:tr>
      <w:tr w14:paraId="6E44BA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6BFD810C">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149EE1D4">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4464E42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乔木林地</w:t>
            </w:r>
          </w:p>
        </w:tc>
        <w:tc>
          <w:tcPr>
            <w:tcW w:w="1032" w:type="pct"/>
            <w:tcBorders>
              <w:tl2br w:val="nil"/>
              <w:tr2bl w:val="nil"/>
            </w:tcBorders>
            <w:shd w:val="clear" w:color="auto" w:fill="auto"/>
            <w:noWrap/>
            <w:vAlign w:val="center"/>
          </w:tcPr>
          <w:p w14:paraId="5FAF0D9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0.0048</w:t>
            </w:r>
          </w:p>
        </w:tc>
      </w:tr>
      <w:tr w14:paraId="539B67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11958F7A">
            <w:pPr>
              <w:jc w:val="center"/>
              <w:rPr>
                <w:rFonts w:hint="default" w:ascii="Times New Roman" w:hAnsi="Times New Roman" w:eastAsia="宋体" w:cs="Times New Roman"/>
                <w:i w:val="0"/>
                <w:iCs w:val="0"/>
                <w:color w:val="000000"/>
                <w:sz w:val="22"/>
                <w:szCs w:val="22"/>
                <w:u w:val="none"/>
              </w:rPr>
            </w:pPr>
          </w:p>
        </w:tc>
        <w:tc>
          <w:tcPr>
            <w:tcW w:w="1667" w:type="pct"/>
            <w:vMerge w:val="restart"/>
            <w:tcBorders>
              <w:tl2br w:val="nil"/>
              <w:tr2bl w:val="nil"/>
            </w:tcBorders>
            <w:shd w:val="clear" w:color="auto" w:fill="auto"/>
            <w:noWrap/>
            <w:vAlign w:val="center"/>
          </w:tcPr>
          <w:p w14:paraId="3B8207C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公益</w:t>
            </w:r>
            <w:r>
              <w:rPr>
                <w:rFonts w:hint="default" w:ascii="Times New Roman" w:hAnsi="Times New Roman" w:eastAsia="宋体" w:cs="Times New Roman"/>
                <w:i w:val="0"/>
                <w:iCs w:val="0"/>
                <w:color w:val="000000"/>
                <w:kern w:val="0"/>
                <w:sz w:val="22"/>
                <w:szCs w:val="22"/>
                <w:u w:val="none"/>
                <w:lang w:val="en-US" w:eastAsia="zh-CN" w:bidi="ar"/>
              </w:rPr>
              <w:t>1</w:t>
            </w:r>
          </w:p>
        </w:tc>
        <w:tc>
          <w:tcPr>
            <w:tcW w:w="1564" w:type="pct"/>
            <w:tcBorders>
              <w:tl2br w:val="nil"/>
              <w:tr2bl w:val="nil"/>
            </w:tcBorders>
            <w:shd w:val="clear" w:color="auto" w:fill="auto"/>
            <w:noWrap/>
            <w:vAlign w:val="center"/>
          </w:tcPr>
          <w:p w14:paraId="76AE56D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小计</w:t>
            </w:r>
          </w:p>
        </w:tc>
        <w:tc>
          <w:tcPr>
            <w:tcW w:w="1032" w:type="pct"/>
            <w:tcBorders>
              <w:tl2br w:val="nil"/>
              <w:tr2bl w:val="nil"/>
            </w:tcBorders>
            <w:shd w:val="clear" w:color="auto" w:fill="auto"/>
            <w:noWrap/>
            <w:vAlign w:val="center"/>
          </w:tcPr>
          <w:p w14:paraId="701534F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2.0365</w:t>
            </w:r>
          </w:p>
        </w:tc>
      </w:tr>
      <w:tr w14:paraId="75D249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1659C3FA">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78046248">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0998A17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城镇村道路用地</w:t>
            </w:r>
          </w:p>
        </w:tc>
        <w:tc>
          <w:tcPr>
            <w:tcW w:w="1032" w:type="pct"/>
            <w:tcBorders>
              <w:tl2br w:val="nil"/>
              <w:tr2bl w:val="nil"/>
            </w:tcBorders>
            <w:shd w:val="clear" w:color="auto" w:fill="auto"/>
            <w:noWrap/>
            <w:vAlign w:val="center"/>
          </w:tcPr>
          <w:p w14:paraId="0349F13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0.0088</w:t>
            </w:r>
          </w:p>
        </w:tc>
      </w:tr>
      <w:tr w14:paraId="504CC7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0A68070B">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65F12432">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3F46D71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城镇住宅用地</w:t>
            </w:r>
          </w:p>
        </w:tc>
        <w:tc>
          <w:tcPr>
            <w:tcW w:w="1032" w:type="pct"/>
            <w:tcBorders>
              <w:tl2br w:val="nil"/>
              <w:tr2bl w:val="nil"/>
            </w:tcBorders>
            <w:shd w:val="clear" w:color="auto" w:fill="auto"/>
            <w:noWrap/>
            <w:vAlign w:val="center"/>
          </w:tcPr>
          <w:p w14:paraId="10D6D04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1.206</w:t>
            </w:r>
          </w:p>
        </w:tc>
      </w:tr>
      <w:tr w14:paraId="5E1A7B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5CA5E511">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21864C86">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0C4BB49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公园与绿地</w:t>
            </w:r>
          </w:p>
        </w:tc>
        <w:tc>
          <w:tcPr>
            <w:tcW w:w="1032" w:type="pct"/>
            <w:tcBorders>
              <w:tl2br w:val="nil"/>
              <w:tr2bl w:val="nil"/>
            </w:tcBorders>
            <w:shd w:val="clear" w:color="auto" w:fill="auto"/>
            <w:noWrap/>
            <w:vAlign w:val="center"/>
          </w:tcPr>
          <w:p w14:paraId="4AB3282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0.3583</w:t>
            </w:r>
          </w:p>
        </w:tc>
      </w:tr>
      <w:tr w14:paraId="0BB504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75AF8D19">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39B0543B">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4948329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旱地</w:t>
            </w:r>
          </w:p>
        </w:tc>
        <w:tc>
          <w:tcPr>
            <w:tcW w:w="1032" w:type="pct"/>
            <w:tcBorders>
              <w:tl2br w:val="nil"/>
              <w:tr2bl w:val="nil"/>
            </w:tcBorders>
            <w:shd w:val="clear" w:color="auto" w:fill="auto"/>
            <w:noWrap/>
            <w:vAlign w:val="center"/>
          </w:tcPr>
          <w:p w14:paraId="0A368A2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0.0668</w:t>
            </w:r>
          </w:p>
        </w:tc>
      </w:tr>
      <w:tr w14:paraId="093651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5D10CBB4">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3D6EB66E">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3A11B70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其他草地</w:t>
            </w:r>
          </w:p>
        </w:tc>
        <w:tc>
          <w:tcPr>
            <w:tcW w:w="1032" w:type="pct"/>
            <w:tcBorders>
              <w:tl2br w:val="nil"/>
              <w:tr2bl w:val="nil"/>
            </w:tcBorders>
            <w:shd w:val="clear" w:color="auto" w:fill="auto"/>
            <w:noWrap/>
            <w:vAlign w:val="center"/>
          </w:tcPr>
          <w:p w14:paraId="6EC2854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0.0929</w:t>
            </w:r>
          </w:p>
        </w:tc>
      </w:tr>
      <w:tr w14:paraId="12194A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0AB15F8B">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1FB31565">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303A41C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乔木林地</w:t>
            </w:r>
          </w:p>
        </w:tc>
        <w:tc>
          <w:tcPr>
            <w:tcW w:w="1032" w:type="pct"/>
            <w:tcBorders>
              <w:tl2br w:val="nil"/>
              <w:tr2bl w:val="nil"/>
            </w:tcBorders>
            <w:shd w:val="clear" w:color="auto" w:fill="auto"/>
            <w:noWrap/>
            <w:vAlign w:val="center"/>
          </w:tcPr>
          <w:p w14:paraId="5D5906B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0.3029</w:t>
            </w:r>
          </w:p>
        </w:tc>
      </w:tr>
      <w:tr w14:paraId="63FECB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1225CE1A">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62132575">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3CD1946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商业服务业设施用地</w:t>
            </w:r>
          </w:p>
        </w:tc>
        <w:tc>
          <w:tcPr>
            <w:tcW w:w="1032" w:type="pct"/>
            <w:tcBorders>
              <w:tl2br w:val="nil"/>
              <w:tr2bl w:val="nil"/>
            </w:tcBorders>
            <w:shd w:val="clear" w:color="auto" w:fill="auto"/>
            <w:noWrap/>
            <w:vAlign w:val="center"/>
          </w:tcPr>
          <w:p w14:paraId="74C411A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0.0008</w:t>
            </w:r>
          </w:p>
        </w:tc>
      </w:tr>
      <w:tr w14:paraId="6E9342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restart"/>
            <w:tcBorders>
              <w:tl2br w:val="nil"/>
              <w:tr2bl w:val="nil"/>
            </w:tcBorders>
            <w:shd w:val="clear" w:color="auto" w:fill="auto"/>
            <w:noWrap/>
            <w:vAlign w:val="center"/>
          </w:tcPr>
          <w:p w14:paraId="45EF111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区片</w:t>
            </w:r>
            <w:r>
              <w:rPr>
                <w:rFonts w:hint="default" w:ascii="Times New Roman" w:hAnsi="Times New Roman" w:eastAsia="宋体" w:cs="Times New Roman"/>
                <w:i w:val="0"/>
                <w:iCs w:val="0"/>
                <w:color w:val="000000"/>
                <w:kern w:val="0"/>
                <w:sz w:val="22"/>
                <w:szCs w:val="22"/>
                <w:u w:val="none"/>
                <w:lang w:val="en-US" w:eastAsia="zh-CN" w:bidi="ar"/>
              </w:rPr>
              <w:t>3</w:t>
            </w:r>
          </w:p>
        </w:tc>
        <w:tc>
          <w:tcPr>
            <w:tcW w:w="1667" w:type="pct"/>
            <w:vMerge w:val="restart"/>
            <w:tcBorders>
              <w:tl2br w:val="nil"/>
              <w:tr2bl w:val="nil"/>
            </w:tcBorders>
            <w:shd w:val="clear" w:color="auto" w:fill="auto"/>
            <w:noWrap/>
            <w:vAlign w:val="center"/>
          </w:tcPr>
          <w:p w14:paraId="06D4BB4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2023-12-01</w:t>
            </w:r>
          </w:p>
        </w:tc>
        <w:tc>
          <w:tcPr>
            <w:tcW w:w="1564" w:type="pct"/>
            <w:tcBorders>
              <w:tl2br w:val="nil"/>
              <w:tr2bl w:val="nil"/>
            </w:tcBorders>
            <w:shd w:val="clear" w:color="auto" w:fill="auto"/>
            <w:noWrap/>
            <w:vAlign w:val="center"/>
          </w:tcPr>
          <w:p w14:paraId="7A1EDCD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小计</w:t>
            </w:r>
          </w:p>
        </w:tc>
        <w:tc>
          <w:tcPr>
            <w:tcW w:w="1032" w:type="pct"/>
            <w:tcBorders>
              <w:tl2br w:val="nil"/>
              <w:tr2bl w:val="nil"/>
            </w:tcBorders>
            <w:shd w:val="clear" w:color="auto" w:fill="auto"/>
            <w:noWrap/>
            <w:vAlign w:val="center"/>
          </w:tcPr>
          <w:p w14:paraId="2D0B367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7.2777</w:t>
            </w:r>
          </w:p>
        </w:tc>
      </w:tr>
      <w:tr w14:paraId="5A36F6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5F4D4041">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2914334B">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09BE9DE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城镇住宅用地</w:t>
            </w:r>
          </w:p>
        </w:tc>
        <w:tc>
          <w:tcPr>
            <w:tcW w:w="1032" w:type="pct"/>
            <w:tcBorders>
              <w:tl2br w:val="nil"/>
              <w:tr2bl w:val="nil"/>
            </w:tcBorders>
            <w:shd w:val="clear" w:color="auto" w:fill="auto"/>
            <w:noWrap/>
            <w:vAlign w:val="center"/>
          </w:tcPr>
          <w:p w14:paraId="46F9F8E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6.4043</w:t>
            </w:r>
          </w:p>
        </w:tc>
      </w:tr>
      <w:tr w14:paraId="2B370D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387DED4A">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040F051D">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614B6E8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沟渠</w:t>
            </w:r>
          </w:p>
        </w:tc>
        <w:tc>
          <w:tcPr>
            <w:tcW w:w="1032" w:type="pct"/>
            <w:tcBorders>
              <w:tl2br w:val="nil"/>
              <w:tr2bl w:val="nil"/>
            </w:tcBorders>
            <w:shd w:val="clear" w:color="auto" w:fill="auto"/>
            <w:noWrap/>
            <w:vAlign w:val="center"/>
          </w:tcPr>
          <w:p w14:paraId="18806CC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0.322</w:t>
            </w:r>
          </w:p>
        </w:tc>
      </w:tr>
      <w:tr w14:paraId="4CD718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4A00F11F">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5A9FB6EC">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23F9A38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旱地</w:t>
            </w:r>
          </w:p>
        </w:tc>
        <w:tc>
          <w:tcPr>
            <w:tcW w:w="1032" w:type="pct"/>
            <w:tcBorders>
              <w:tl2br w:val="nil"/>
              <w:tr2bl w:val="nil"/>
            </w:tcBorders>
            <w:shd w:val="clear" w:color="auto" w:fill="auto"/>
            <w:noWrap/>
            <w:vAlign w:val="center"/>
          </w:tcPr>
          <w:p w14:paraId="198F062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0.1431</w:t>
            </w:r>
          </w:p>
        </w:tc>
      </w:tr>
      <w:tr w14:paraId="0C9B19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09086A3A">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188E885B">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6CC3BA1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其他草地</w:t>
            </w:r>
          </w:p>
        </w:tc>
        <w:tc>
          <w:tcPr>
            <w:tcW w:w="1032" w:type="pct"/>
            <w:tcBorders>
              <w:tl2br w:val="nil"/>
              <w:tr2bl w:val="nil"/>
            </w:tcBorders>
            <w:shd w:val="clear" w:color="auto" w:fill="auto"/>
            <w:noWrap/>
            <w:vAlign w:val="center"/>
          </w:tcPr>
          <w:p w14:paraId="6E2EBD2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0.3873</w:t>
            </w:r>
          </w:p>
        </w:tc>
      </w:tr>
      <w:tr w14:paraId="27D6E4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363C6BF8">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5D74DD6F">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1B72B55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水田</w:t>
            </w:r>
          </w:p>
        </w:tc>
        <w:tc>
          <w:tcPr>
            <w:tcW w:w="1032" w:type="pct"/>
            <w:tcBorders>
              <w:tl2br w:val="nil"/>
              <w:tr2bl w:val="nil"/>
            </w:tcBorders>
            <w:shd w:val="clear" w:color="auto" w:fill="auto"/>
            <w:noWrap/>
            <w:vAlign w:val="center"/>
          </w:tcPr>
          <w:p w14:paraId="4661EDB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0.021</w:t>
            </w:r>
          </w:p>
        </w:tc>
      </w:tr>
      <w:tr w14:paraId="12094B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736" w:type="pct"/>
            <w:vMerge w:val="restart"/>
            <w:tcBorders>
              <w:tl2br w:val="nil"/>
              <w:tr2bl w:val="nil"/>
            </w:tcBorders>
            <w:shd w:val="clear" w:color="auto" w:fill="auto"/>
            <w:noWrap/>
            <w:vAlign w:val="center"/>
          </w:tcPr>
          <w:p w14:paraId="78E2E0B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区片</w:t>
            </w:r>
            <w:r>
              <w:rPr>
                <w:rFonts w:hint="default" w:ascii="Times New Roman" w:hAnsi="Times New Roman" w:eastAsia="宋体" w:cs="Times New Roman"/>
                <w:i w:val="0"/>
                <w:iCs w:val="0"/>
                <w:color w:val="000000"/>
                <w:kern w:val="0"/>
                <w:sz w:val="22"/>
                <w:szCs w:val="22"/>
                <w:u w:val="none"/>
                <w:lang w:val="en-US" w:eastAsia="zh-CN" w:bidi="ar"/>
              </w:rPr>
              <w:t>4</w:t>
            </w:r>
          </w:p>
        </w:tc>
        <w:tc>
          <w:tcPr>
            <w:tcW w:w="1667" w:type="pct"/>
            <w:vMerge w:val="restart"/>
            <w:tcBorders>
              <w:tl2br w:val="nil"/>
              <w:tr2bl w:val="nil"/>
            </w:tcBorders>
            <w:shd w:val="clear" w:color="auto" w:fill="auto"/>
            <w:noWrap/>
            <w:vAlign w:val="center"/>
          </w:tcPr>
          <w:p w14:paraId="56D08AD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2023-12-02</w:t>
            </w:r>
          </w:p>
        </w:tc>
        <w:tc>
          <w:tcPr>
            <w:tcW w:w="1564" w:type="pct"/>
            <w:tcBorders>
              <w:tl2br w:val="nil"/>
              <w:tr2bl w:val="nil"/>
            </w:tcBorders>
            <w:shd w:val="clear" w:color="auto" w:fill="auto"/>
            <w:noWrap/>
            <w:vAlign w:val="center"/>
          </w:tcPr>
          <w:p w14:paraId="449F780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小计</w:t>
            </w:r>
          </w:p>
        </w:tc>
        <w:tc>
          <w:tcPr>
            <w:tcW w:w="1032" w:type="pct"/>
            <w:tcBorders>
              <w:tl2br w:val="nil"/>
              <w:tr2bl w:val="nil"/>
            </w:tcBorders>
            <w:shd w:val="clear" w:color="auto" w:fill="auto"/>
            <w:noWrap/>
            <w:vAlign w:val="center"/>
          </w:tcPr>
          <w:p w14:paraId="0E07512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2.7246</w:t>
            </w:r>
          </w:p>
        </w:tc>
      </w:tr>
      <w:tr w14:paraId="2B1053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6D574299">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77DA60A4">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7846885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城镇村道路用地</w:t>
            </w:r>
          </w:p>
        </w:tc>
        <w:tc>
          <w:tcPr>
            <w:tcW w:w="1032" w:type="pct"/>
            <w:tcBorders>
              <w:tl2br w:val="nil"/>
              <w:tr2bl w:val="nil"/>
            </w:tcBorders>
            <w:shd w:val="clear" w:color="auto" w:fill="auto"/>
            <w:noWrap/>
            <w:vAlign w:val="center"/>
          </w:tcPr>
          <w:p w14:paraId="7A615AD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0.0071</w:t>
            </w:r>
          </w:p>
        </w:tc>
      </w:tr>
      <w:tr w14:paraId="2C8A12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2E4C75D9">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1316025D">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4944000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城镇住宅用地</w:t>
            </w:r>
          </w:p>
        </w:tc>
        <w:tc>
          <w:tcPr>
            <w:tcW w:w="1032" w:type="pct"/>
            <w:tcBorders>
              <w:tl2br w:val="nil"/>
              <w:tr2bl w:val="nil"/>
            </w:tcBorders>
            <w:shd w:val="clear" w:color="auto" w:fill="auto"/>
            <w:noWrap/>
            <w:vAlign w:val="center"/>
          </w:tcPr>
          <w:p w14:paraId="2CC6C95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2.1996</w:t>
            </w:r>
          </w:p>
        </w:tc>
      </w:tr>
      <w:tr w14:paraId="0F9E45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20491E82">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79933683">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5DE53BA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沟渠</w:t>
            </w:r>
          </w:p>
        </w:tc>
        <w:tc>
          <w:tcPr>
            <w:tcW w:w="1032" w:type="pct"/>
            <w:tcBorders>
              <w:tl2br w:val="nil"/>
              <w:tr2bl w:val="nil"/>
            </w:tcBorders>
            <w:shd w:val="clear" w:color="auto" w:fill="auto"/>
            <w:noWrap/>
            <w:vAlign w:val="center"/>
          </w:tcPr>
          <w:p w14:paraId="3C4F210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0.028</w:t>
            </w:r>
          </w:p>
        </w:tc>
      </w:tr>
      <w:tr w14:paraId="2E5F12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5B22613D">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7E656C25">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3EBD378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旱地</w:t>
            </w:r>
          </w:p>
        </w:tc>
        <w:tc>
          <w:tcPr>
            <w:tcW w:w="1032" w:type="pct"/>
            <w:tcBorders>
              <w:tl2br w:val="nil"/>
              <w:tr2bl w:val="nil"/>
            </w:tcBorders>
            <w:shd w:val="clear" w:color="auto" w:fill="auto"/>
            <w:noWrap/>
            <w:vAlign w:val="center"/>
          </w:tcPr>
          <w:p w14:paraId="46B3689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0.3363</w:t>
            </w:r>
          </w:p>
        </w:tc>
      </w:tr>
      <w:tr w14:paraId="20C727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42BA23E4">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4D986E74">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5287498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其他草地</w:t>
            </w:r>
          </w:p>
        </w:tc>
        <w:tc>
          <w:tcPr>
            <w:tcW w:w="1032" w:type="pct"/>
            <w:tcBorders>
              <w:tl2br w:val="nil"/>
              <w:tr2bl w:val="nil"/>
            </w:tcBorders>
            <w:shd w:val="clear" w:color="auto" w:fill="auto"/>
            <w:noWrap/>
            <w:vAlign w:val="center"/>
          </w:tcPr>
          <w:p w14:paraId="3C98D6E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0.1536</w:t>
            </w:r>
          </w:p>
        </w:tc>
      </w:tr>
      <w:tr w14:paraId="0F9316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restart"/>
            <w:tcBorders>
              <w:tl2br w:val="nil"/>
              <w:tr2bl w:val="nil"/>
            </w:tcBorders>
            <w:shd w:val="clear" w:color="auto" w:fill="auto"/>
            <w:noWrap/>
            <w:vAlign w:val="center"/>
          </w:tcPr>
          <w:p w14:paraId="51DC25E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区片</w:t>
            </w:r>
            <w:r>
              <w:rPr>
                <w:rFonts w:hint="default" w:ascii="Times New Roman" w:hAnsi="Times New Roman" w:eastAsia="宋体" w:cs="Times New Roman"/>
                <w:i w:val="0"/>
                <w:iCs w:val="0"/>
                <w:color w:val="000000"/>
                <w:kern w:val="0"/>
                <w:sz w:val="22"/>
                <w:szCs w:val="22"/>
                <w:u w:val="none"/>
                <w:lang w:val="en-US" w:eastAsia="zh-CN" w:bidi="ar"/>
              </w:rPr>
              <w:t>5</w:t>
            </w:r>
          </w:p>
        </w:tc>
        <w:tc>
          <w:tcPr>
            <w:tcW w:w="1667" w:type="pct"/>
            <w:vMerge w:val="restart"/>
            <w:tcBorders>
              <w:tl2br w:val="nil"/>
              <w:tr2bl w:val="nil"/>
            </w:tcBorders>
            <w:shd w:val="clear" w:color="auto" w:fill="auto"/>
            <w:vAlign w:val="center"/>
          </w:tcPr>
          <w:p w14:paraId="52ADBED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r>
              <w:rPr>
                <w:rFonts w:ascii="仿宋" w:hAnsi="仿宋" w:eastAsia="仿宋" w:cs="仿宋"/>
                <w:i w:val="0"/>
                <w:iCs w:val="0"/>
                <w:color w:val="000000"/>
                <w:kern w:val="0"/>
                <w:sz w:val="22"/>
                <w:szCs w:val="22"/>
                <w:u w:val="none"/>
                <w:lang w:val="en-US" w:eastAsia="zh-CN" w:bidi="ar"/>
              </w:rPr>
              <w:t>万吨可持续航空燃料（</w:t>
            </w:r>
            <w:r>
              <w:rPr>
                <w:rFonts w:hint="default" w:ascii="Times New Roman" w:hAnsi="Times New Roman" w:eastAsia="宋体" w:cs="Times New Roman"/>
                <w:i w:val="0"/>
                <w:iCs w:val="0"/>
                <w:color w:val="000000"/>
                <w:kern w:val="0"/>
                <w:sz w:val="22"/>
                <w:szCs w:val="22"/>
                <w:u w:val="none"/>
                <w:lang w:val="en-US" w:eastAsia="zh-CN" w:bidi="ar"/>
              </w:rPr>
              <w:t>SAF</w:t>
            </w:r>
            <w:r>
              <w:rPr>
                <w:rFonts w:ascii="仿宋" w:hAnsi="仿宋" w:eastAsia="仿宋" w:cs="仿宋"/>
                <w:i w:val="0"/>
                <w:iCs w:val="0"/>
                <w:color w:val="000000"/>
                <w:kern w:val="0"/>
                <w:sz w:val="22"/>
                <w:szCs w:val="22"/>
                <w:u w:val="none"/>
                <w:lang w:val="en-US" w:eastAsia="zh-CN" w:bidi="ar"/>
              </w:rPr>
              <w:t>）生产项目</w:t>
            </w:r>
          </w:p>
        </w:tc>
        <w:tc>
          <w:tcPr>
            <w:tcW w:w="1564" w:type="pct"/>
            <w:tcBorders>
              <w:tl2br w:val="nil"/>
              <w:tr2bl w:val="nil"/>
            </w:tcBorders>
            <w:shd w:val="clear" w:color="auto" w:fill="auto"/>
            <w:noWrap/>
            <w:vAlign w:val="center"/>
          </w:tcPr>
          <w:p w14:paraId="4B492CF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小计</w:t>
            </w:r>
          </w:p>
        </w:tc>
        <w:tc>
          <w:tcPr>
            <w:tcW w:w="1032" w:type="pct"/>
            <w:tcBorders>
              <w:tl2br w:val="nil"/>
              <w:tr2bl w:val="nil"/>
            </w:tcBorders>
            <w:shd w:val="clear" w:color="auto" w:fill="auto"/>
            <w:noWrap/>
            <w:vAlign w:val="center"/>
          </w:tcPr>
          <w:p w14:paraId="18209FC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14.8151</w:t>
            </w:r>
          </w:p>
        </w:tc>
      </w:tr>
      <w:tr w14:paraId="7E18D1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6850DBA3">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vAlign w:val="center"/>
          </w:tcPr>
          <w:p w14:paraId="012BB198">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1A36EC0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旱地</w:t>
            </w:r>
          </w:p>
        </w:tc>
        <w:tc>
          <w:tcPr>
            <w:tcW w:w="1032" w:type="pct"/>
            <w:tcBorders>
              <w:tl2br w:val="nil"/>
              <w:tr2bl w:val="nil"/>
            </w:tcBorders>
            <w:shd w:val="clear" w:color="auto" w:fill="auto"/>
            <w:noWrap/>
            <w:vAlign w:val="center"/>
          </w:tcPr>
          <w:p w14:paraId="0B65F6D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13.0128</w:t>
            </w:r>
          </w:p>
        </w:tc>
      </w:tr>
      <w:tr w14:paraId="2FF11D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13F6FAEB">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vAlign w:val="center"/>
          </w:tcPr>
          <w:p w14:paraId="3795A1F7">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033A1A1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裸土地</w:t>
            </w:r>
          </w:p>
        </w:tc>
        <w:tc>
          <w:tcPr>
            <w:tcW w:w="1032" w:type="pct"/>
            <w:tcBorders>
              <w:tl2br w:val="nil"/>
              <w:tr2bl w:val="nil"/>
            </w:tcBorders>
            <w:shd w:val="clear" w:color="auto" w:fill="auto"/>
            <w:noWrap/>
            <w:vAlign w:val="center"/>
          </w:tcPr>
          <w:p w14:paraId="359171E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0.0006</w:t>
            </w:r>
          </w:p>
        </w:tc>
      </w:tr>
      <w:tr w14:paraId="6B11D5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79C2C8D7">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vAlign w:val="center"/>
          </w:tcPr>
          <w:p w14:paraId="25A17340">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06FB5D3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农村道路</w:t>
            </w:r>
          </w:p>
        </w:tc>
        <w:tc>
          <w:tcPr>
            <w:tcW w:w="1032" w:type="pct"/>
            <w:tcBorders>
              <w:tl2br w:val="nil"/>
              <w:tr2bl w:val="nil"/>
            </w:tcBorders>
            <w:shd w:val="clear" w:color="auto" w:fill="auto"/>
            <w:noWrap/>
            <w:vAlign w:val="center"/>
          </w:tcPr>
          <w:p w14:paraId="179BA92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0.356</w:t>
            </w:r>
          </w:p>
        </w:tc>
      </w:tr>
      <w:tr w14:paraId="7C51D0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18BCE872">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vAlign w:val="center"/>
          </w:tcPr>
          <w:p w14:paraId="69A01B72">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61D04C3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水田</w:t>
            </w:r>
          </w:p>
        </w:tc>
        <w:tc>
          <w:tcPr>
            <w:tcW w:w="1032" w:type="pct"/>
            <w:tcBorders>
              <w:tl2br w:val="nil"/>
              <w:tr2bl w:val="nil"/>
            </w:tcBorders>
            <w:shd w:val="clear" w:color="auto" w:fill="auto"/>
            <w:noWrap/>
            <w:vAlign w:val="center"/>
          </w:tcPr>
          <w:p w14:paraId="750ADD7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1.4457</w:t>
            </w:r>
          </w:p>
        </w:tc>
      </w:tr>
      <w:tr w14:paraId="09E232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6902D60F">
            <w:pPr>
              <w:jc w:val="center"/>
              <w:rPr>
                <w:rFonts w:hint="default" w:ascii="Times New Roman" w:hAnsi="Times New Roman" w:eastAsia="宋体" w:cs="Times New Roman"/>
                <w:i w:val="0"/>
                <w:iCs w:val="0"/>
                <w:color w:val="000000"/>
                <w:sz w:val="22"/>
                <w:szCs w:val="22"/>
                <w:u w:val="none"/>
              </w:rPr>
            </w:pPr>
          </w:p>
        </w:tc>
        <w:tc>
          <w:tcPr>
            <w:tcW w:w="1667" w:type="pct"/>
            <w:vMerge w:val="restart"/>
            <w:tcBorders>
              <w:tl2br w:val="nil"/>
              <w:tr2bl w:val="nil"/>
            </w:tcBorders>
            <w:shd w:val="clear" w:color="auto" w:fill="auto"/>
            <w:vAlign w:val="center"/>
          </w:tcPr>
          <w:p w14:paraId="02F9BA7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黑龙江省鸡西市鸡东县</w:t>
            </w:r>
            <w:r>
              <w:rPr>
                <w:rFonts w:hint="default" w:ascii="Times New Roman" w:hAnsi="Times New Roman" w:eastAsia="宋体" w:cs="Times New Roman"/>
                <w:i w:val="0"/>
                <w:iCs w:val="0"/>
                <w:color w:val="000000"/>
                <w:kern w:val="0"/>
                <w:sz w:val="22"/>
                <w:szCs w:val="22"/>
                <w:u w:val="none"/>
                <w:lang w:val="en-US" w:eastAsia="zh-CN" w:bidi="ar"/>
              </w:rPr>
              <w:t xml:space="preserve"> 30 </w:t>
            </w:r>
            <w:r>
              <w:rPr>
                <w:rFonts w:ascii="仿宋" w:hAnsi="仿宋" w:eastAsia="仿宋" w:cs="仿宋"/>
                <w:i w:val="0"/>
                <w:iCs w:val="0"/>
                <w:color w:val="000000"/>
                <w:kern w:val="0"/>
                <w:sz w:val="22"/>
                <w:szCs w:val="22"/>
                <w:u w:val="none"/>
                <w:lang w:val="en-US" w:eastAsia="zh-CN" w:bidi="ar"/>
              </w:rPr>
              <w:t>万吨绿氢醇航油化工联产项目</w:t>
            </w:r>
          </w:p>
        </w:tc>
        <w:tc>
          <w:tcPr>
            <w:tcW w:w="1564" w:type="pct"/>
            <w:tcBorders>
              <w:tl2br w:val="nil"/>
              <w:tr2bl w:val="nil"/>
            </w:tcBorders>
            <w:shd w:val="clear" w:color="auto" w:fill="auto"/>
            <w:noWrap/>
            <w:vAlign w:val="center"/>
          </w:tcPr>
          <w:p w14:paraId="77417BB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小计</w:t>
            </w:r>
          </w:p>
        </w:tc>
        <w:tc>
          <w:tcPr>
            <w:tcW w:w="1032" w:type="pct"/>
            <w:tcBorders>
              <w:tl2br w:val="nil"/>
              <w:tr2bl w:val="nil"/>
            </w:tcBorders>
            <w:shd w:val="clear" w:color="auto" w:fill="auto"/>
            <w:noWrap/>
            <w:vAlign w:val="center"/>
          </w:tcPr>
          <w:p w14:paraId="7DE59FA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28.0291</w:t>
            </w:r>
          </w:p>
        </w:tc>
      </w:tr>
      <w:tr w14:paraId="437188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518A0D0C">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vAlign w:val="center"/>
          </w:tcPr>
          <w:p w14:paraId="01930098">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1A3E630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沟渠</w:t>
            </w:r>
          </w:p>
        </w:tc>
        <w:tc>
          <w:tcPr>
            <w:tcW w:w="1032" w:type="pct"/>
            <w:tcBorders>
              <w:tl2br w:val="nil"/>
              <w:tr2bl w:val="nil"/>
            </w:tcBorders>
            <w:shd w:val="clear" w:color="auto" w:fill="auto"/>
            <w:noWrap/>
            <w:vAlign w:val="center"/>
          </w:tcPr>
          <w:p w14:paraId="3104962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0.8709</w:t>
            </w:r>
          </w:p>
        </w:tc>
      </w:tr>
      <w:tr w14:paraId="415459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6F80C745">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vAlign w:val="center"/>
          </w:tcPr>
          <w:p w14:paraId="730CA307">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1924F64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旱地</w:t>
            </w:r>
          </w:p>
        </w:tc>
        <w:tc>
          <w:tcPr>
            <w:tcW w:w="1032" w:type="pct"/>
            <w:tcBorders>
              <w:tl2br w:val="nil"/>
              <w:tr2bl w:val="nil"/>
            </w:tcBorders>
            <w:shd w:val="clear" w:color="auto" w:fill="auto"/>
            <w:noWrap/>
            <w:vAlign w:val="center"/>
          </w:tcPr>
          <w:p w14:paraId="7B22B36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19.8156</w:t>
            </w:r>
          </w:p>
        </w:tc>
      </w:tr>
      <w:tr w14:paraId="6E3D49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7E8FA962">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vAlign w:val="center"/>
          </w:tcPr>
          <w:p w14:paraId="56A523F7">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2636092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农村道路</w:t>
            </w:r>
          </w:p>
        </w:tc>
        <w:tc>
          <w:tcPr>
            <w:tcW w:w="1032" w:type="pct"/>
            <w:tcBorders>
              <w:tl2br w:val="nil"/>
              <w:tr2bl w:val="nil"/>
            </w:tcBorders>
            <w:shd w:val="clear" w:color="auto" w:fill="auto"/>
            <w:noWrap/>
            <w:vAlign w:val="center"/>
          </w:tcPr>
          <w:p w14:paraId="20B9700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0.8765</w:t>
            </w:r>
          </w:p>
        </w:tc>
      </w:tr>
      <w:tr w14:paraId="10E5F3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5C47FFFB">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vAlign w:val="center"/>
          </w:tcPr>
          <w:p w14:paraId="7B8BEB20">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4FAA231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其他林地</w:t>
            </w:r>
          </w:p>
        </w:tc>
        <w:tc>
          <w:tcPr>
            <w:tcW w:w="1032" w:type="pct"/>
            <w:tcBorders>
              <w:tl2br w:val="nil"/>
              <w:tr2bl w:val="nil"/>
            </w:tcBorders>
            <w:shd w:val="clear" w:color="auto" w:fill="auto"/>
            <w:noWrap/>
            <w:vAlign w:val="center"/>
          </w:tcPr>
          <w:p w14:paraId="47C2C93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0.3015</w:t>
            </w:r>
          </w:p>
        </w:tc>
      </w:tr>
      <w:tr w14:paraId="1B6FEA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717184A4">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vAlign w:val="center"/>
          </w:tcPr>
          <w:p w14:paraId="1559C282">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4A61C6D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水田</w:t>
            </w:r>
          </w:p>
        </w:tc>
        <w:tc>
          <w:tcPr>
            <w:tcW w:w="1032" w:type="pct"/>
            <w:tcBorders>
              <w:tl2br w:val="nil"/>
              <w:tr2bl w:val="nil"/>
            </w:tcBorders>
            <w:shd w:val="clear" w:color="auto" w:fill="auto"/>
            <w:noWrap/>
            <w:vAlign w:val="center"/>
          </w:tcPr>
          <w:p w14:paraId="56E2A96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6.1646</w:t>
            </w:r>
          </w:p>
        </w:tc>
      </w:tr>
      <w:tr w14:paraId="0AC428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3BC72EC6">
            <w:pPr>
              <w:jc w:val="center"/>
              <w:rPr>
                <w:rFonts w:hint="default" w:ascii="Times New Roman" w:hAnsi="Times New Roman" w:eastAsia="宋体" w:cs="Times New Roman"/>
                <w:i w:val="0"/>
                <w:iCs w:val="0"/>
                <w:color w:val="000000"/>
                <w:sz w:val="22"/>
                <w:szCs w:val="22"/>
                <w:u w:val="none"/>
              </w:rPr>
            </w:pPr>
          </w:p>
        </w:tc>
        <w:tc>
          <w:tcPr>
            <w:tcW w:w="1667" w:type="pct"/>
            <w:vMerge w:val="restart"/>
            <w:tcBorders>
              <w:tl2br w:val="nil"/>
              <w:tr2bl w:val="nil"/>
            </w:tcBorders>
            <w:shd w:val="clear" w:color="auto" w:fill="auto"/>
            <w:noWrap/>
            <w:vAlign w:val="center"/>
          </w:tcPr>
          <w:p w14:paraId="54B040B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项目</w:t>
            </w:r>
            <w:r>
              <w:rPr>
                <w:rFonts w:hint="default" w:ascii="Times New Roman" w:hAnsi="Times New Roman" w:eastAsia="宋体" w:cs="Times New Roman"/>
                <w:i w:val="0"/>
                <w:iCs w:val="0"/>
                <w:color w:val="000000"/>
                <w:kern w:val="0"/>
                <w:sz w:val="22"/>
                <w:szCs w:val="22"/>
                <w:u w:val="none"/>
                <w:lang w:val="en-US" w:eastAsia="zh-CN" w:bidi="ar"/>
              </w:rPr>
              <w:t>1</w:t>
            </w:r>
          </w:p>
        </w:tc>
        <w:tc>
          <w:tcPr>
            <w:tcW w:w="1564" w:type="pct"/>
            <w:tcBorders>
              <w:tl2br w:val="nil"/>
              <w:tr2bl w:val="nil"/>
            </w:tcBorders>
            <w:shd w:val="clear" w:color="auto" w:fill="auto"/>
            <w:noWrap/>
            <w:vAlign w:val="center"/>
          </w:tcPr>
          <w:p w14:paraId="5D57BE0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小计</w:t>
            </w:r>
          </w:p>
        </w:tc>
        <w:tc>
          <w:tcPr>
            <w:tcW w:w="1032" w:type="pct"/>
            <w:tcBorders>
              <w:tl2br w:val="nil"/>
              <w:tr2bl w:val="nil"/>
            </w:tcBorders>
            <w:shd w:val="clear" w:color="auto" w:fill="auto"/>
            <w:noWrap/>
            <w:vAlign w:val="center"/>
          </w:tcPr>
          <w:p w14:paraId="10018E4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1.6803</w:t>
            </w:r>
          </w:p>
        </w:tc>
      </w:tr>
      <w:tr w14:paraId="1E4657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454CF97A">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00A94167">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11CF042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旱地</w:t>
            </w:r>
          </w:p>
        </w:tc>
        <w:tc>
          <w:tcPr>
            <w:tcW w:w="1032" w:type="pct"/>
            <w:tcBorders>
              <w:tl2br w:val="nil"/>
              <w:tr2bl w:val="nil"/>
            </w:tcBorders>
            <w:shd w:val="clear" w:color="auto" w:fill="auto"/>
            <w:noWrap/>
            <w:vAlign w:val="center"/>
          </w:tcPr>
          <w:p w14:paraId="7FAB858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1.6517</w:t>
            </w:r>
          </w:p>
        </w:tc>
      </w:tr>
      <w:tr w14:paraId="3FC089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7A09A864">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19F80657">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2D3E1E2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农村道路</w:t>
            </w:r>
          </w:p>
        </w:tc>
        <w:tc>
          <w:tcPr>
            <w:tcW w:w="1032" w:type="pct"/>
            <w:tcBorders>
              <w:tl2br w:val="nil"/>
              <w:tr2bl w:val="nil"/>
            </w:tcBorders>
            <w:shd w:val="clear" w:color="auto" w:fill="auto"/>
            <w:noWrap/>
            <w:vAlign w:val="center"/>
          </w:tcPr>
          <w:p w14:paraId="626BA44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0.0286</w:t>
            </w:r>
          </w:p>
        </w:tc>
      </w:tr>
      <w:tr w14:paraId="6E7845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2C9E1FF1">
            <w:pPr>
              <w:jc w:val="center"/>
              <w:rPr>
                <w:rFonts w:hint="default" w:ascii="Times New Roman" w:hAnsi="Times New Roman" w:eastAsia="宋体" w:cs="Times New Roman"/>
                <w:i w:val="0"/>
                <w:iCs w:val="0"/>
                <w:color w:val="000000"/>
                <w:sz w:val="22"/>
                <w:szCs w:val="22"/>
                <w:u w:val="none"/>
              </w:rPr>
            </w:pPr>
          </w:p>
        </w:tc>
        <w:tc>
          <w:tcPr>
            <w:tcW w:w="1667" w:type="pct"/>
            <w:vMerge w:val="restart"/>
            <w:tcBorders>
              <w:tl2br w:val="nil"/>
              <w:tr2bl w:val="nil"/>
            </w:tcBorders>
            <w:shd w:val="clear" w:color="auto" w:fill="auto"/>
            <w:noWrap/>
            <w:vAlign w:val="center"/>
          </w:tcPr>
          <w:p w14:paraId="1158A45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化工产业园</w:t>
            </w:r>
          </w:p>
        </w:tc>
        <w:tc>
          <w:tcPr>
            <w:tcW w:w="1564" w:type="pct"/>
            <w:tcBorders>
              <w:tl2br w:val="nil"/>
              <w:tr2bl w:val="nil"/>
            </w:tcBorders>
            <w:shd w:val="clear" w:color="auto" w:fill="auto"/>
            <w:noWrap/>
            <w:vAlign w:val="center"/>
          </w:tcPr>
          <w:p w14:paraId="5C65AF0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小计</w:t>
            </w:r>
          </w:p>
        </w:tc>
        <w:tc>
          <w:tcPr>
            <w:tcW w:w="1032" w:type="pct"/>
            <w:tcBorders>
              <w:tl2br w:val="nil"/>
              <w:tr2bl w:val="nil"/>
            </w:tcBorders>
            <w:shd w:val="clear" w:color="auto" w:fill="auto"/>
            <w:noWrap/>
            <w:vAlign w:val="center"/>
          </w:tcPr>
          <w:p w14:paraId="67B2440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8.8472</w:t>
            </w:r>
          </w:p>
        </w:tc>
      </w:tr>
      <w:tr w14:paraId="5F30EE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01247F60">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04D6105A">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1C7368D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公路用地</w:t>
            </w:r>
          </w:p>
        </w:tc>
        <w:tc>
          <w:tcPr>
            <w:tcW w:w="1032" w:type="pct"/>
            <w:tcBorders>
              <w:tl2br w:val="nil"/>
              <w:tr2bl w:val="nil"/>
            </w:tcBorders>
            <w:shd w:val="clear" w:color="auto" w:fill="auto"/>
            <w:noWrap/>
            <w:vAlign w:val="center"/>
          </w:tcPr>
          <w:p w14:paraId="0E9041D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0.0892</w:t>
            </w:r>
          </w:p>
        </w:tc>
      </w:tr>
      <w:tr w14:paraId="07EB75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617FE9CE">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0216A4FA">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323E088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沟渠</w:t>
            </w:r>
          </w:p>
        </w:tc>
        <w:tc>
          <w:tcPr>
            <w:tcW w:w="1032" w:type="pct"/>
            <w:tcBorders>
              <w:tl2br w:val="nil"/>
              <w:tr2bl w:val="nil"/>
            </w:tcBorders>
            <w:shd w:val="clear" w:color="auto" w:fill="auto"/>
            <w:noWrap/>
            <w:vAlign w:val="center"/>
          </w:tcPr>
          <w:p w14:paraId="22B4710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0.5369</w:t>
            </w:r>
          </w:p>
        </w:tc>
      </w:tr>
      <w:tr w14:paraId="427440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0D29FB81">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2352F07E">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524DBAD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旱地</w:t>
            </w:r>
          </w:p>
        </w:tc>
        <w:tc>
          <w:tcPr>
            <w:tcW w:w="1032" w:type="pct"/>
            <w:tcBorders>
              <w:tl2br w:val="nil"/>
              <w:tr2bl w:val="nil"/>
            </w:tcBorders>
            <w:shd w:val="clear" w:color="auto" w:fill="auto"/>
            <w:noWrap/>
            <w:vAlign w:val="center"/>
          </w:tcPr>
          <w:p w14:paraId="2975E90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5.2219</w:t>
            </w:r>
          </w:p>
        </w:tc>
      </w:tr>
      <w:tr w14:paraId="1DE79B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68A434DE">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6E4D361E">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13F9E0D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裸土地</w:t>
            </w:r>
          </w:p>
        </w:tc>
        <w:tc>
          <w:tcPr>
            <w:tcW w:w="1032" w:type="pct"/>
            <w:tcBorders>
              <w:tl2br w:val="nil"/>
              <w:tr2bl w:val="nil"/>
            </w:tcBorders>
            <w:shd w:val="clear" w:color="auto" w:fill="auto"/>
            <w:noWrap/>
            <w:vAlign w:val="center"/>
          </w:tcPr>
          <w:p w14:paraId="3F7BB12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0.0603</w:t>
            </w:r>
          </w:p>
        </w:tc>
      </w:tr>
      <w:tr w14:paraId="55D550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0656C41B">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5B712C92">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2AE159F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农村道路</w:t>
            </w:r>
          </w:p>
        </w:tc>
        <w:tc>
          <w:tcPr>
            <w:tcW w:w="1032" w:type="pct"/>
            <w:tcBorders>
              <w:tl2br w:val="nil"/>
              <w:tr2bl w:val="nil"/>
            </w:tcBorders>
            <w:shd w:val="clear" w:color="auto" w:fill="auto"/>
            <w:noWrap/>
            <w:vAlign w:val="center"/>
          </w:tcPr>
          <w:p w14:paraId="0C7E035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0.0975</w:t>
            </w:r>
          </w:p>
        </w:tc>
      </w:tr>
      <w:tr w14:paraId="41462B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78C188AF">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05CEB98C">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1CC2753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其他草地</w:t>
            </w:r>
          </w:p>
        </w:tc>
        <w:tc>
          <w:tcPr>
            <w:tcW w:w="1032" w:type="pct"/>
            <w:tcBorders>
              <w:tl2br w:val="nil"/>
              <w:tr2bl w:val="nil"/>
            </w:tcBorders>
            <w:shd w:val="clear" w:color="auto" w:fill="auto"/>
            <w:noWrap/>
            <w:vAlign w:val="center"/>
          </w:tcPr>
          <w:p w14:paraId="63CC2D3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0.0067</w:t>
            </w:r>
          </w:p>
        </w:tc>
      </w:tr>
      <w:tr w14:paraId="384298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3C9B818A">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5F499420">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2734B73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其他林地</w:t>
            </w:r>
          </w:p>
        </w:tc>
        <w:tc>
          <w:tcPr>
            <w:tcW w:w="1032" w:type="pct"/>
            <w:tcBorders>
              <w:tl2br w:val="nil"/>
              <w:tr2bl w:val="nil"/>
            </w:tcBorders>
            <w:shd w:val="clear" w:color="auto" w:fill="auto"/>
            <w:noWrap/>
            <w:vAlign w:val="center"/>
          </w:tcPr>
          <w:p w14:paraId="7AAC5CF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0.252</w:t>
            </w:r>
          </w:p>
        </w:tc>
      </w:tr>
      <w:tr w14:paraId="378C1C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36" w:type="pct"/>
            <w:vMerge w:val="continue"/>
            <w:tcBorders>
              <w:tl2br w:val="nil"/>
              <w:tr2bl w:val="nil"/>
            </w:tcBorders>
            <w:shd w:val="clear" w:color="auto" w:fill="auto"/>
            <w:noWrap/>
            <w:vAlign w:val="center"/>
          </w:tcPr>
          <w:p w14:paraId="53671698">
            <w:pPr>
              <w:jc w:val="center"/>
              <w:rPr>
                <w:rFonts w:hint="default" w:ascii="Times New Roman" w:hAnsi="Times New Roman" w:eastAsia="宋体" w:cs="Times New Roman"/>
                <w:i w:val="0"/>
                <w:iCs w:val="0"/>
                <w:color w:val="000000"/>
                <w:sz w:val="22"/>
                <w:szCs w:val="22"/>
                <w:u w:val="none"/>
              </w:rPr>
            </w:pPr>
          </w:p>
        </w:tc>
        <w:tc>
          <w:tcPr>
            <w:tcW w:w="1667" w:type="pct"/>
            <w:vMerge w:val="continue"/>
            <w:tcBorders>
              <w:tl2br w:val="nil"/>
              <w:tr2bl w:val="nil"/>
            </w:tcBorders>
            <w:shd w:val="clear" w:color="auto" w:fill="auto"/>
            <w:noWrap/>
            <w:vAlign w:val="center"/>
          </w:tcPr>
          <w:p w14:paraId="0D85F74A">
            <w:pPr>
              <w:jc w:val="center"/>
              <w:rPr>
                <w:rFonts w:hint="default" w:ascii="Times New Roman" w:hAnsi="Times New Roman" w:eastAsia="宋体" w:cs="Times New Roman"/>
                <w:i w:val="0"/>
                <w:iCs w:val="0"/>
                <w:color w:val="000000"/>
                <w:sz w:val="22"/>
                <w:szCs w:val="22"/>
                <w:u w:val="none"/>
              </w:rPr>
            </w:pPr>
          </w:p>
        </w:tc>
        <w:tc>
          <w:tcPr>
            <w:tcW w:w="1564" w:type="pct"/>
            <w:tcBorders>
              <w:tl2br w:val="nil"/>
              <w:tr2bl w:val="nil"/>
            </w:tcBorders>
            <w:shd w:val="clear" w:color="auto" w:fill="auto"/>
            <w:noWrap/>
            <w:vAlign w:val="center"/>
          </w:tcPr>
          <w:p w14:paraId="11743CF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仿宋" w:hAnsi="仿宋" w:eastAsia="仿宋" w:cs="仿宋"/>
                <w:i w:val="0"/>
                <w:iCs w:val="0"/>
                <w:color w:val="000000"/>
                <w:kern w:val="0"/>
                <w:sz w:val="22"/>
                <w:szCs w:val="22"/>
                <w:u w:val="none"/>
                <w:lang w:val="en-US" w:eastAsia="zh-CN" w:bidi="ar"/>
              </w:rPr>
              <w:t>水田</w:t>
            </w:r>
          </w:p>
        </w:tc>
        <w:tc>
          <w:tcPr>
            <w:tcW w:w="1032" w:type="pct"/>
            <w:tcBorders>
              <w:tl2br w:val="nil"/>
              <w:tr2bl w:val="nil"/>
            </w:tcBorders>
            <w:shd w:val="clear" w:color="auto" w:fill="auto"/>
            <w:noWrap/>
            <w:vAlign w:val="center"/>
          </w:tcPr>
          <w:p w14:paraId="3756558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2.5827</w:t>
            </w:r>
          </w:p>
        </w:tc>
      </w:tr>
      <w:tr w14:paraId="61E7FF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967" w:type="pct"/>
            <w:gridSpan w:val="3"/>
            <w:tcBorders>
              <w:tl2br w:val="nil"/>
              <w:tr2bl w:val="nil"/>
            </w:tcBorders>
            <w:shd w:val="clear" w:color="auto" w:fill="auto"/>
            <w:noWrap/>
            <w:vAlign w:val="center"/>
          </w:tcPr>
          <w:p w14:paraId="57963E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032" w:type="pct"/>
            <w:tcBorders>
              <w:tl2br w:val="nil"/>
              <w:tr2bl w:val="nil"/>
            </w:tcBorders>
            <w:shd w:val="clear" w:color="auto" w:fill="auto"/>
            <w:noWrap/>
            <w:vAlign w:val="center"/>
          </w:tcPr>
          <w:p w14:paraId="6E6A663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75.4607</w:t>
            </w:r>
          </w:p>
        </w:tc>
      </w:tr>
    </w:tbl>
    <w:p w14:paraId="41351CCE">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132" w:name="_Toc23483"/>
      <w:bookmarkStart w:id="133" w:name="_Toc22080"/>
      <w:r>
        <w:rPr>
          <w:rFonts w:hint="default" w:ascii="Times New Roman" w:hAnsi="Times New Roman" w:eastAsia="方正楷体_GB2312" w:cs="Times New Roman"/>
        </w:rPr>
        <w:t>7.</w:t>
      </w:r>
      <w:r>
        <w:rPr>
          <w:rFonts w:hint="default" w:ascii="Times New Roman" w:hAnsi="Times New Roman" w:eastAsia="方正楷体_GB2312" w:cs="Times New Roman"/>
          <w:lang w:val="en-US" w:eastAsia="zh-CN"/>
        </w:rPr>
        <w:t>2</w:t>
      </w:r>
      <w:r>
        <w:rPr>
          <w:rFonts w:hint="default" w:ascii="Times New Roman" w:hAnsi="Times New Roman" w:eastAsia="方正楷体_GB2312" w:cs="Times New Roman"/>
        </w:rPr>
        <w:t>成片开发区域内拟安排项目</w:t>
      </w:r>
      <w:bookmarkEnd w:id="129"/>
      <w:bookmarkEnd w:id="132"/>
      <w:bookmarkEnd w:id="133"/>
    </w:p>
    <w:p w14:paraId="5DB09185">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本次成片开发区拟安排项目面积</w:t>
      </w:r>
      <w:r>
        <w:rPr>
          <w:rFonts w:hint="eastAsia" w:ascii="Times New Roman" w:hAnsi="Times New Roman" w:eastAsia="仿宋" w:cs="Times New Roman"/>
          <w:color w:val="333333"/>
          <w:spacing w:val="8"/>
          <w:sz w:val="32"/>
          <w:szCs w:val="32"/>
          <w:lang w:val="en-US" w:eastAsia="zh-CN"/>
        </w:rPr>
        <w:t>75.4607</w:t>
      </w:r>
      <w:r>
        <w:rPr>
          <w:rFonts w:hint="eastAsia" w:ascii="Times New Roman" w:hAnsi="Times New Roman" w:eastAsia="仿宋" w:cs="Times New Roman"/>
          <w:color w:val="333333"/>
          <w:spacing w:val="8"/>
          <w:sz w:val="32"/>
          <w:szCs w:val="32"/>
          <w:lang w:eastAsia="zh-CN"/>
        </w:rPr>
        <w:t>公顷</w:t>
      </w:r>
      <w:r>
        <w:rPr>
          <w:rFonts w:hint="default" w:ascii="Times New Roman" w:hAnsi="Times New Roman" w:eastAsia="仿宋" w:cs="Times New Roman"/>
          <w:color w:val="333333"/>
          <w:spacing w:val="8"/>
          <w:sz w:val="32"/>
          <w:szCs w:val="32"/>
          <w:lang w:eastAsia="zh-CN"/>
        </w:rPr>
        <w:t>，</w:t>
      </w:r>
      <w:r>
        <w:rPr>
          <w:rFonts w:hint="eastAsia" w:ascii="Times New Roman" w:hAnsi="Times New Roman" w:eastAsia="仿宋" w:cs="Times New Roman"/>
          <w:color w:val="333333"/>
          <w:spacing w:val="8"/>
          <w:sz w:val="32"/>
          <w:szCs w:val="32"/>
          <w:lang w:val="en-US" w:eastAsia="zh-CN"/>
        </w:rPr>
        <w:t>区片5中的黑龙江省鸡西市鸡东县30万吨绿氢醇航油化工联产项目和5万吨可持续航空燃料（SAF）生产项目及项目1</w:t>
      </w:r>
      <w:r>
        <w:rPr>
          <w:rFonts w:hint="default" w:ascii="Times New Roman" w:hAnsi="Times New Roman" w:eastAsia="仿宋" w:cs="Times New Roman"/>
          <w:color w:val="333333"/>
          <w:spacing w:val="8"/>
          <w:sz w:val="32"/>
          <w:szCs w:val="32"/>
          <w:lang w:eastAsia="zh-CN"/>
        </w:rPr>
        <w:t>计划实施周期为</w:t>
      </w:r>
      <w:r>
        <w:rPr>
          <w:rFonts w:hint="eastAsia" w:ascii="Times New Roman" w:hAnsi="Times New Roman" w:eastAsia="仿宋" w:cs="Times New Roman"/>
          <w:color w:val="333333"/>
          <w:spacing w:val="8"/>
          <w:sz w:val="32"/>
          <w:szCs w:val="32"/>
          <w:lang w:eastAsia="zh-CN"/>
        </w:rPr>
        <w:t>202</w:t>
      </w:r>
      <w:r>
        <w:rPr>
          <w:rFonts w:hint="eastAsia" w:ascii="Times New Roman" w:hAnsi="Times New Roman" w:eastAsia="仿宋" w:cs="Times New Roman"/>
          <w:color w:val="333333"/>
          <w:spacing w:val="8"/>
          <w:sz w:val="32"/>
          <w:szCs w:val="32"/>
          <w:lang w:val="en-US" w:eastAsia="zh-CN"/>
        </w:rPr>
        <w:t>5</w:t>
      </w:r>
      <w:r>
        <w:rPr>
          <w:rFonts w:hint="eastAsia" w:ascii="Times New Roman" w:hAnsi="Times New Roman" w:eastAsia="仿宋" w:cs="Times New Roman"/>
          <w:color w:val="333333"/>
          <w:spacing w:val="8"/>
          <w:sz w:val="32"/>
          <w:szCs w:val="32"/>
          <w:lang w:eastAsia="zh-CN"/>
        </w:rPr>
        <w:t>年-202</w:t>
      </w:r>
      <w:r>
        <w:rPr>
          <w:rFonts w:hint="eastAsia" w:ascii="Times New Roman" w:hAnsi="Times New Roman" w:eastAsia="仿宋" w:cs="Times New Roman"/>
          <w:color w:val="333333"/>
          <w:spacing w:val="8"/>
          <w:sz w:val="32"/>
          <w:szCs w:val="32"/>
          <w:lang w:val="en-US" w:eastAsia="zh-CN"/>
        </w:rPr>
        <w:t>7</w:t>
      </w:r>
      <w:r>
        <w:rPr>
          <w:rFonts w:hint="eastAsia" w:ascii="Times New Roman" w:hAnsi="Times New Roman" w:eastAsia="仿宋" w:cs="Times New Roman"/>
          <w:color w:val="333333"/>
          <w:spacing w:val="8"/>
          <w:sz w:val="32"/>
          <w:szCs w:val="32"/>
          <w:lang w:eastAsia="zh-CN"/>
        </w:rPr>
        <w:t>年。</w:t>
      </w:r>
    </w:p>
    <w:p w14:paraId="0674C8FC">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Times New Roman" w:hAnsi="Times New Roman" w:eastAsia="仿宋" w:cs="Times New Roman"/>
          <w:color w:val="333333"/>
          <w:spacing w:val="8"/>
          <w:sz w:val="32"/>
          <w:szCs w:val="32"/>
          <w:lang w:eastAsia="zh-CN"/>
        </w:rPr>
      </w:pPr>
      <w:r>
        <w:rPr>
          <w:rFonts w:hint="eastAsia" w:ascii="Times New Roman" w:hAnsi="Times New Roman" w:eastAsia="仿宋" w:cs="Times New Roman"/>
          <w:color w:val="333333"/>
          <w:spacing w:val="8"/>
          <w:sz w:val="32"/>
          <w:szCs w:val="32"/>
          <w:lang w:val="en-US" w:eastAsia="zh-CN"/>
        </w:rPr>
        <w:t>本次成片开发方案</w:t>
      </w:r>
      <w:r>
        <w:rPr>
          <w:rFonts w:hint="default" w:ascii="Times New Roman" w:hAnsi="Times New Roman" w:eastAsia="仿宋" w:cs="Times New Roman"/>
          <w:color w:val="333333"/>
          <w:spacing w:val="8"/>
          <w:sz w:val="32"/>
          <w:szCs w:val="32"/>
          <w:lang w:eastAsia="zh-CN"/>
        </w:rPr>
        <w:t>主要分3个阶段进行</w:t>
      </w:r>
      <w:r>
        <w:rPr>
          <w:rFonts w:hint="eastAsia" w:ascii="Times New Roman" w:hAnsi="Times New Roman" w:eastAsia="仿宋" w:cs="Times New Roman"/>
          <w:color w:val="333333"/>
          <w:spacing w:val="8"/>
          <w:sz w:val="32"/>
          <w:szCs w:val="32"/>
          <w:lang w:eastAsia="zh-CN"/>
        </w:rPr>
        <w:t>：</w:t>
      </w:r>
    </w:p>
    <w:p w14:paraId="5AA5D4B2">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第一阶段：土地开发征收阶段及规划布局阶段；</w:t>
      </w:r>
    </w:p>
    <w:p w14:paraId="124906E2">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第二阶段：基础设施建设阶段；</w:t>
      </w:r>
    </w:p>
    <w:p w14:paraId="0E19FF1F">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第三阶段：自有项目建设以及项目调试及运行阶段。</w:t>
      </w:r>
    </w:p>
    <w:p w14:paraId="5CACE92A">
      <w:pPr>
        <w:jc w:val="right"/>
        <w:rPr>
          <w:rFonts w:hint="default" w:ascii="Times New Roman" w:hAnsi="Times New Roman" w:eastAsia="宋体" w:cs="Times New Roman"/>
          <w:sz w:val="18"/>
          <w:szCs w:val="18"/>
        </w:rPr>
      </w:pPr>
    </w:p>
    <w:p w14:paraId="1425D728">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134" w:name="_Toc57365266"/>
      <w:bookmarkStart w:id="135" w:name="_Toc25329"/>
      <w:bookmarkStart w:id="136" w:name="_Toc5579"/>
      <w:r>
        <w:rPr>
          <w:rFonts w:hint="default" w:ascii="Times New Roman" w:hAnsi="Times New Roman" w:eastAsia="方正楷体_GB2312" w:cs="Times New Roman"/>
        </w:rPr>
        <w:t>7.</w:t>
      </w:r>
      <w:r>
        <w:rPr>
          <w:rFonts w:hint="default" w:ascii="Times New Roman" w:hAnsi="Times New Roman" w:eastAsia="方正楷体_GB2312" w:cs="Times New Roman"/>
          <w:lang w:val="en-US" w:eastAsia="zh-CN"/>
        </w:rPr>
        <w:t>3</w:t>
      </w:r>
      <w:r>
        <w:rPr>
          <w:rFonts w:hint="default" w:ascii="Times New Roman" w:hAnsi="Times New Roman" w:eastAsia="方正楷体_GB2312" w:cs="Times New Roman"/>
        </w:rPr>
        <w:t>成片开发区域内开发时序和年度实施计划</w:t>
      </w:r>
      <w:bookmarkEnd w:id="134"/>
      <w:bookmarkEnd w:id="135"/>
      <w:bookmarkEnd w:id="136"/>
    </w:p>
    <w:tbl>
      <w:tblPr>
        <w:tblStyle w:val="20"/>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21"/>
        <w:gridCol w:w="1858"/>
        <w:gridCol w:w="1710"/>
        <w:gridCol w:w="1346"/>
        <w:gridCol w:w="1076"/>
        <w:gridCol w:w="1076"/>
        <w:gridCol w:w="1056"/>
      </w:tblGrid>
      <w:tr w14:paraId="380587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blHeader/>
        </w:trPr>
        <w:tc>
          <w:tcPr>
            <w:tcW w:w="459" w:type="pct"/>
            <w:tcBorders>
              <w:tl2br w:val="nil"/>
              <w:tr2bl w:val="nil"/>
            </w:tcBorders>
            <w:shd w:val="clear" w:color="auto" w:fill="auto"/>
            <w:noWrap/>
            <w:vAlign w:val="center"/>
          </w:tcPr>
          <w:p w14:paraId="46968372">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2"/>
                <w:szCs w:val="22"/>
                <w:u w:val="none"/>
              </w:rPr>
            </w:pPr>
            <w:r>
              <w:rPr>
                <w:rFonts w:hint="default" w:ascii="Times New Roman" w:hAnsi="Times New Roman" w:eastAsia="仿宋" w:cs="Times New Roman"/>
                <w:b/>
                <w:bCs/>
                <w:i w:val="0"/>
                <w:iCs w:val="0"/>
                <w:color w:val="000000"/>
                <w:kern w:val="0"/>
                <w:sz w:val="22"/>
                <w:szCs w:val="22"/>
                <w:u w:val="none"/>
                <w:lang w:val="en-US" w:eastAsia="zh-CN" w:bidi="ar"/>
              </w:rPr>
              <w:t>区块</w:t>
            </w:r>
          </w:p>
        </w:tc>
        <w:tc>
          <w:tcPr>
            <w:tcW w:w="1038" w:type="pct"/>
            <w:tcBorders>
              <w:tl2br w:val="nil"/>
              <w:tr2bl w:val="nil"/>
            </w:tcBorders>
            <w:shd w:val="clear" w:color="auto" w:fill="auto"/>
            <w:noWrap/>
            <w:vAlign w:val="center"/>
          </w:tcPr>
          <w:p w14:paraId="1D14A611">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2"/>
                <w:szCs w:val="22"/>
                <w:u w:val="none"/>
              </w:rPr>
            </w:pPr>
            <w:r>
              <w:rPr>
                <w:rFonts w:hint="default" w:ascii="Times New Roman" w:hAnsi="Times New Roman" w:eastAsia="仿宋" w:cs="Times New Roman"/>
                <w:b/>
                <w:bCs/>
                <w:i w:val="0"/>
                <w:iCs w:val="0"/>
                <w:color w:val="000000"/>
                <w:kern w:val="0"/>
                <w:sz w:val="22"/>
                <w:szCs w:val="22"/>
                <w:u w:val="none"/>
                <w:lang w:val="en-US" w:eastAsia="zh-CN" w:bidi="ar"/>
              </w:rPr>
              <w:t>地块名称</w:t>
            </w:r>
          </w:p>
        </w:tc>
        <w:tc>
          <w:tcPr>
            <w:tcW w:w="956" w:type="pct"/>
            <w:tcBorders>
              <w:tl2br w:val="nil"/>
              <w:tr2bl w:val="nil"/>
            </w:tcBorders>
            <w:shd w:val="clear" w:color="auto" w:fill="auto"/>
            <w:noWrap/>
            <w:vAlign w:val="center"/>
          </w:tcPr>
          <w:p w14:paraId="39C5EC24">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2"/>
                <w:szCs w:val="22"/>
                <w:u w:val="none"/>
              </w:rPr>
            </w:pPr>
            <w:r>
              <w:rPr>
                <w:rFonts w:hint="default" w:ascii="Times New Roman" w:hAnsi="Times New Roman" w:eastAsia="仿宋" w:cs="Times New Roman"/>
                <w:b/>
                <w:bCs/>
                <w:i w:val="0"/>
                <w:iCs w:val="0"/>
                <w:color w:val="000000"/>
                <w:kern w:val="0"/>
                <w:sz w:val="22"/>
                <w:szCs w:val="22"/>
                <w:u w:val="none"/>
                <w:lang w:val="en-US" w:eastAsia="zh-CN" w:bidi="ar"/>
              </w:rPr>
              <w:t>地类名称</w:t>
            </w:r>
          </w:p>
        </w:tc>
        <w:tc>
          <w:tcPr>
            <w:tcW w:w="752" w:type="pct"/>
            <w:tcBorders>
              <w:tl2br w:val="nil"/>
              <w:tr2bl w:val="nil"/>
            </w:tcBorders>
            <w:shd w:val="clear" w:color="auto" w:fill="auto"/>
            <w:noWrap/>
            <w:vAlign w:val="center"/>
          </w:tcPr>
          <w:p w14:paraId="5DC9FB79">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2"/>
                <w:szCs w:val="22"/>
                <w:u w:val="none"/>
              </w:rPr>
            </w:pPr>
            <w:r>
              <w:rPr>
                <w:rFonts w:hint="default" w:ascii="Times New Roman" w:hAnsi="Times New Roman" w:eastAsia="仿宋" w:cs="Times New Roman"/>
                <w:b/>
                <w:bCs/>
                <w:i w:val="0"/>
                <w:iCs w:val="0"/>
                <w:color w:val="000000"/>
                <w:kern w:val="0"/>
                <w:sz w:val="22"/>
                <w:szCs w:val="22"/>
                <w:u w:val="none"/>
                <w:lang w:val="en-US" w:eastAsia="zh-CN" w:bidi="ar"/>
              </w:rPr>
              <w:t>面积（公顷）</w:t>
            </w:r>
          </w:p>
        </w:tc>
        <w:tc>
          <w:tcPr>
            <w:tcW w:w="601" w:type="pct"/>
            <w:tcBorders>
              <w:tl2br w:val="nil"/>
              <w:tr2bl w:val="nil"/>
            </w:tcBorders>
            <w:shd w:val="clear" w:color="auto" w:fill="auto"/>
            <w:noWrap/>
            <w:vAlign w:val="center"/>
          </w:tcPr>
          <w:p w14:paraId="10A4F347">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2"/>
                <w:szCs w:val="22"/>
                <w:u w:val="none"/>
              </w:rPr>
            </w:pPr>
            <w:r>
              <w:rPr>
                <w:rFonts w:hint="default" w:ascii="Times New Roman" w:hAnsi="Times New Roman" w:eastAsia="仿宋" w:cs="Times New Roman"/>
                <w:b/>
                <w:bCs/>
                <w:i w:val="0"/>
                <w:iCs w:val="0"/>
                <w:color w:val="000000"/>
                <w:kern w:val="0"/>
                <w:sz w:val="22"/>
                <w:szCs w:val="22"/>
                <w:u w:val="none"/>
                <w:lang w:val="en-US" w:eastAsia="zh-CN" w:bidi="ar"/>
              </w:rPr>
              <w:t>2025年</w:t>
            </w:r>
          </w:p>
        </w:tc>
        <w:tc>
          <w:tcPr>
            <w:tcW w:w="601" w:type="pct"/>
            <w:tcBorders>
              <w:tl2br w:val="nil"/>
              <w:tr2bl w:val="nil"/>
            </w:tcBorders>
            <w:shd w:val="clear" w:color="auto" w:fill="auto"/>
            <w:noWrap/>
            <w:vAlign w:val="center"/>
          </w:tcPr>
          <w:p w14:paraId="5587E1FE">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2"/>
                <w:szCs w:val="22"/>
                <w:u w:val="none"/>
              </w:rPr>
            </w:pPr>
            <w:r>
              <w:rPr>
                <w:rFonts w:hint="default" w:ascii="Times New Roman" w:hAnsi="Times New Roman" w:eastAsia="仿宋" w:cs="Times New Roman"/>
                <w:b/>
                <w:bCs/>
                <w:i w:val="0"/>
                <w:iCs w:val="0"/>
                <w:color w:val="000000"/>
                <w:kern w:val="0"/>
                <w:sz w:val="22"/>
                <w:szCs w:val="22"/>
                <w:u w:val="none"/>
                <w:lang w:val="en-US" w:eastAsia="zh-CN" w:bidi="ar"/>
              </w:rPr>
              <w:t>2026年</w:t>
            </w:r>
          </w:p>
        </w:tc>
        <w:tc>
          <w:tcPr>
            <w:tcW w:w="590" w:type="pct"/>
            <w:tcBorders>
              <w:tl2br w:val="nil"/>
              <w:tr2bl w:val="nil"/>
            </w:tcBorders>
            <w:shd w:val="clear" w:color="auto" w:fill="auto"/>
            <w:noWrap/>
            <w:vAlign w:val="center"/>
          </w:tcPr>
          <w:p w14:paraId="33011950">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2"/>
                <w:szCs w:val="22"/>
                <w:u w:val="none"/>
              </w:rPr>
            </w:pPr>
            <w:r>
              <w:rPr>
                <w:rFonts w:hint="default" w:ascii="Times New Roman" w:hAnsi="Times New Roman" w:eastAsia="仿宋" w:cs="Times New Roman"/>
                <w:b/>
                <w:bCs/>
                <w:i w:val="0"/>
                <w:iCs w:val="0"/>
                <w:color w:val="000000"/>
                <w:kern w:val="0"/>
                <w:sz w:val="22"/>
                <w:szCs w:val="22"/>
                <w:u w:val="none"/>
                <w:lang w:val="en-US" w:eastAsia="zh-CN" w:bidi="ar"/>
              </w:rPr>
              <w:t>2027年</w:t>
            </w:r>
          </w:p>
        </w:tc>
      </w:tr>
      <w:tr w14:paraId="7B26AC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59" w:type="pct"/>
            <w:vMerge w:val="restart"/>
            <w:tcBorders>
              <w:tl2br w:val="nil"/>
              <w:tr2bl w:val="nil"/>
            </w:tcBorders>
            <w:shd w:val="clear" w:color="auto" w:fill="auto"/>
            <w:noWrap/>
            <w:vAlign w:val="center"/>
          </w:tcPr>
          <w:p w14:paraId="3ED67AC4">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区块1</w:t>
            </w:r>
          </w:p>
        </w:tc>
        <w:tc>
          <w:tcPr>
            <w:tcW w:w="1038" w:type="pct"/>
            <w:tcBorders>
              <w:tl2br w:val="nil"/>
              <w:tr2bl w:val="nil"/>
            </w:tcBorders>
            <w:shd w:val="clear" w:color="auto" w:fill="auto"/>
            <w:noWrap/>
            <w:vAlign w:val="center"/>
          </w:tcPr>
          <w:p w14:paraId="58F7D3CB">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2023-13-1</w:t>
            </w:r>
          </w:p>
        </w:tc>
        <w:tc>
          <w:tcPr>
            <w:tcW w:w="956" w:type="pct"/>
            <w:tcBorders>
              <w:tl2br w:val="nil"/>
              <w:tr2bl w:val="nil"/>
            </w:tcBorders>
            <w:shd w:val="clear" w:color="auto" w:fill="auto"/>
            <w:noWrap/>
            <w:vAlign w:val="center"/>
          </w:tcPr>
          <w:p w14:paraId="69E03C77">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公园绿地</w:t>
            </w:r>
          </w:p>
        </w:tc>
        <w:tc>
          <w:tcPr>
            <w:tcW w:w="752" w:type="pct"/>
            <w:tcBorders>
              <w:tl2br w:val="nil"/>
              <w:tr2bl w:val="nil"/>
            </w:tcBorders>
            <w:shd w:val="clear" w:color="auto" w:fill="auto"/>
            <w:noWrap/>
            <w:vAlign w:val="center"/>
          </w:tcPr>
          <w:p w14:paraId="6C3D0B90">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5.2155</w:t>
            </w:r>
          </w:p>
        </w:tc>
        <w:tc>
          <w:tcPr>
            <w:tcW w:w="601" w:type="pct"/>
            <w:tcBorders>
              <w:tl2br w:val="nil"/>
              <w:tr2bl w:val="nil"/>
            </w:tcBorders>
            <w:shd w:val="clear" w:color="auto" w:fill="auto"/>
            <w:noWrap/>
            <w:vAlign w:val="center"/>
          </w:tcPr>
          <w:p w14:paraId="25B5243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完成30%</w:t>
            </w:r>
          </w:p>
        </w:tc>
        <w:tc>
          <w:tcPr>
            <w:tcW w:w="601" w:type="pct"/>
            <w:tcBorders>
              <w:tl2br w:val="nil"/>
              <w:tr2bl w:val="nil"/>
            </w:tcBorders>
            <w:shd w:val="clear" w:color="auto" w:fill="auto"/>
            <w:noWrap/>
            <w:vAlign w:val="center"/>
          </w:tcPr>
          <w:p w14:paraId="23E8BF0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完成70%</w:t>
            </w:r>
          </w:p>
        </w:tc>
        <w:tc>
          <w:tcPr>
            <w:tcW w:w="590" w:type="pct"/>
            <w:tcBorders>
              <w:tl2br w:val="nil"/>
              <w:tr2bl w:val="nil"/>
            </w:tcBorders>
            <w:shd w:val="clear" w:color="auto" w:fill="auto"/>
            <w:noWrap/>
            <w:vAlign w:val="center"/>
          </w:tcPr>
          <w:p w14:paraId="303B7B9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全部完成</w:t>
            </w:r>
          </w:p>
        </w:tc>
      </w:tr>
      <w:tr w14:paraId="4B3D27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59" w:type="pct"/>
            <w:vMerge w:val="continue"/>
            <w:tcBorders>
              <w:tl2br w:val="nil"/>
              <w:tr2bl w:val="nil"/>
            </w:tcBorders>
            <w:shd w:val="clear" w:color="auto" w:fill="auto"/>
            <w:noWrap/>
            <w:vAlign w:val="center"/>
          </w:tcPr>
          <w:p w14:paraId="4D010DA4">
            <w:pPr>
              <w:jc w:val="center"/>
              <w:rPr>
                <w:rFonts w:hint="default" w:ascii="Times New Roman" w:hAnsi="Times New Roman" w:eastAsia="仿宋" w:cs="Times New Roman"/>
                <w:i w:val="0"/>
                <w:iCs w:val="0"/>
                <w:color w:val="000000"/>
                <w:sz w:val="22"/>
                <w:szCs w:val="22"/>
                <w:u w:val="none"/>
              </w:rPr>
            </w:pPr>
          </w:p>
        </w:tc>
        <w:tc>
          <w:tcPr>
            <w:tcW w:w="1038" w:type="pct"/>
            <w:tcBorders>
              <w:tl2br w:val="nil"/>
              <w:tr2bl w:val="nil"/>
            </w:tcBorders>
            <w:shd w:val="clear" w:color="auto" w:fill="auto"/>
            <w:noWrap/>
            <w:vAlign w:val="center"/>
          </w:tcPr>
          <w:p w14:paraId="3F9182C0">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2023-13-2</w:t>
            </w:r>
          </w:p>
        </w:tc>
        <w:tc>
          <w:tcPr>
            <w:tcW w:w="956" w:type="pct"/>
            <w:tcBorders>
              <w:tl2br w:val="nil"/>
              <w:tr2bl w:val="nil"/>
            </w:tcBorders>
            <w:shd w:val="clear" w:color="auto" w:fill="auto"/>
            <w:noWrap/>
            <w:vAlign w:val="center"/>
          </w:tcPr>
          <w:p w14:paraId="25193D0D">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体育用地</w:t>
            </w:r>
          </w:p>
        </w:tc>
        <w:tc>
          <w:tcPr>
            <w:tcW w:w="752" w:type="pct"/>
            <w:tcBorders>
              <w:tl2br w:val="nil"/>
              <w:tr2bl w:val="nil"/>
            </w:tcBorders>
            <w:shd w:val="clear" w:color="auto" w:fill="auto"/>
            <w:noWrap/>
            <w:vAlign w:val="center"/>
          </w:tcPr>
          <w:p w14:paraId="3A4655B0">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1.709</w:t>
            </w:r>
          </w:p>
        </w:tc>
        <w:tc>
          <w:tcPr>
            <w:tcW w:w="601" w:type="pct"/>
            <w:tcBorders>
              <w:tl2br w:val="nil"/>
              <w:tr2bl w:val="nil"/>
            </w:tcBorders>
            <w:shd w:val="clear" w:color="auto" w:fill="auto"/>
            <w:noWrap/>
            <w:vAlign w:val="center"/>
          </w:tcPr>
          <w:p w14:paraId="6ED6EC1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完成30%</w:t>
            </w:r>
          </w:p>
        </w:tc>
        <w:tc>
          <w:tcPr>
            <w:tcW w:w="601" w:type="pct"/>
            <w:tcBorders>
              <w:tl2br w:val="nil"/>
              <w:tr2bl w:val="nil"/>
            </w:tcBorders>
            <w:shd w:val="clear" w:color="auto" w:fill="auto"/>
            <w:noWrap/>
            <w:vAlign w:val="center"/>
          </w:tcPr>
          <w:p w14:paraId="33BB8E63">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完成70%</w:t>
            </w:r>
          </w:p>
        </w:tc>
        <w:tc>
          <w:tcPr>
            <w:tcW w:w="590" w:type="pct"/>
            <w:tcBorders>
              <w:tl2br w:val="nil"/>
              <w:tr2bl w:val="nil"/>
            </w:tcBorders>
            <w:shd w:val="clear" w:color="auto" w:fill="auto"/>
            <w:noWrap/>
            <w:vAlign w:val="center"/>
          </w:tcPr>
          <w:p w14:paraId="0FF4D8D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全部完成</w:t>
            </w:r>
          </w:p>
        </w:tc>
      </w:tr>
      <w:tr w14:paraId="65AB09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59" w:type="pct"/>
            <w:vMerge w:val="restart"/>
            <w:tcBorders>
              <w:tl2br w:val="nil"/>
              <w:tr2bl w:val="nil"/>
            </w:tcBorders>
            <w:shd w:val="clear" w:color="auto" w:fill="auto"/>
            <w:noWrap/>
            <w:vAlign w:val="center"/>
          </w:tcPr>
          <w:p w14:paraId="54896BF7">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区块2</w:t>
            </w:r>
          </w:p>
        </w:tc>
        <w:tc>
          <w:tcPr>
            <w:tcW w:w="1038" w:type="pct"/>
            <w:tcBorders>
              <w:tl2br w:val="nil"/>
              <w:tr2bl w:val="nil"/>
            </w:tcBorders>
            <w:shd w:val="clear" w:color="auto" w:fill="auto"/>
            <w:noWrap/>
            <w:vAlign w:val="center"/>
          </w:tcPr>
          <w:p w14:paraId="075B56C8">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公益1</w:t>
            </w:r>
          </w:p>
        </w:tc>
        <w:tc>
          <w:tcPr>
            <w:tcW w:w="956" w:type="pct"/>
            <w:tcBorders>
              <w:tl2br w:val="nil"/>
              <w:tr2bl w:val="nil"/>
            </w:tcBorders>
            <w:shd w:val="clear" w:color="auto" w:fill="auto"/>
            <w:noWrap/>
            <w:vAlign w:val="center"/>
          </w:tcPr>
          <w:p w14:paraId="1277606C">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交通场站用地</w:t>
            </w:r>
          </w:p>
        </w:tc>
        <w:tc>
          <w:tcPr>
            <w:tcW w:w="752" w:type="pct"/>
            <w:tcBorders>
              <w:tl2br w:val="nil"/>
              <w:tr2bl w:val="nil"/>
            </w:tcBorders>
            <w:shd w:val="clear" w:color="auto" w:fill="auto"/>
            <w:noWrap/>
            <w:vAlign w:val="center"/>
          </w:tcPr>
          <w:p w14:paraId="587F243E">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2.0365</w:t>
            </w:r>
          </w:p>
        </w:tc>
        <w:tc>
          <w:tcPr>
            <w:tcW w:w="601" w:type="pct"/>
            <w:tcBorders>
              <w:tl2br w:val="nil"/>
              <w:tr2bl w:val="nil"/>
            </w:tcBorders>
            <w:shd w:val="clear" w:color="auto" w:fill="auto"/>
            <w:noWrap/>
            <w:vAlign w:val="center"/>
          </w:tcPr>
          <w:p w14:paraId="47F95E4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完成30%</w:t>
            </w:r>
          </w:p>
        </w:tc>
        <w:tc>
          <w:tcPr>
            <w:tcW w:w="601" w:type="pct"/>
            <w:tcBorders>
              <w:tl2br w:val="nil"/>
              <w:tr2bl w:val="nil"/>
            </w:tcBorders>
            <w:shd w:val="clear" w:color="auto" w:fill="auto"/>
            <w:noWrap/>
            <w:vAlign w:val="center"/>
          </w:tcPr>
          <w:p w14:paraId="4BD9001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完成70%</w:t>
            </w:r>
          </w:p>
        </w:tc>
        <w:tc>
          <w:tcPr>
            <w:tcW w:w="590" w:type="pct"/>
            <w:tcBorders>
              <w:tl2br w:val="nil"/>
              <w:tr2bl w:val="nil"/>
            </w:tcBorders>
            <w:shd w:val="clear" w:color="auto" w:fill="auto"/>
            <w:noWrap/>
            <w:vAlign w:val="center"/>
          </w:tcPr>
          <w:p w14:paraId="259E7298">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全部完成</w:t>
            </w:r>
          </w:p>
        </w:tc>
      </w:tr>
      <w:tr w14:paraId="6D9CE2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59" w:type="pct"/>
            <w:vMerge w:val="continue"/>
            <w:tcBorders>
              <w:tl2br w:val="nil"/>
              <w:tr2bl w:val="nil"/>
            </w:tcBorders>
            <w:shd w:val="clear" w:color="auto" w:fill="auto"/>
            <w:noWrap/>
            <w:vAlign w:val="center"/>
          </w:tcPr>
          <w:p w14:paraId="178EF9DA">
            <w:pPr>
              <w:jc w:val="center"/>
              <w:rPr>
                <w:rFonts w:hint="default" w:ascii="Times New Roman" w:hAnsi="Times New Roman" w:eastAsia="仿宋" w:cs="Times New Roman"/>
                <w:i w:val="0"/>
                <w:iCs w:val="0"/>
                <w:color w:val="000000"/>
                <w:sz w:val="22"/>
                <w:szCs w:val="22"/>
                <w:u w:val="none"/>
              </w:rPr>
            </w:pPr>
          </w:p>
        </w:tc>
        <w:tc>
          <w:tcPr>
            <w:tcW w:w="1038" w:type="pct"/>
            <w:tcBorders>
              <w:tl2br w:val="nil"/>
              <w:tr2bl w:val="nil"/>
            </w:tcBorders>
            <w:shd w:val="clear" w:color="auto" w:fill="auto"/>
            <w:noWrap/>
            <w:vAlign w:val="center"/>
          </w:tcPr>
          <w:p w14:paraId="3F955693">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2023-13-3</w:t>
            </w:r>
          </w:p>
        </w:tc>
        <w:tc>
          <w:tcPr>
            <w:tcW w:w="956" w:type="pct"/>
            <w:tcBorders>
              <w:tl2br w:val="nil"/>
              <w:tr2bl w:val="nil"/>
            </w:tcBorders>
            <w:shd w:val="clear" w:color="auto" w:fill="auto"/>
            <w:noWrap/>
            <w:vAlign w:val="center"/>
          </w:tcPr>
          <w:p w14:paraId="488E24FD">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体育用地</w:t>
            </w:r>
          </w:p>
        </w:tc>
        <w:tc>
          <w:tcPr>
            <w:tcW w:w="752" w:type="pct"/>
            <w:tcBorders>
              <w:tl2br w:val="nil"/>
              <w:tr2bl w:val="nil"/>
            </w:tcBorders>
            <w:shd w:val="clear" w:color="auto" w:fill="auto"/>
            <w:noWrap/>
            <w:vAlign w:val="center"/>
          </w:tcPr>
          <w:p w14:paraId="463C8CF8">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0.1799</w:t>
            </w:r>
          </w:p>
        </w:tc>
        <w:tc>
          <w:tcPr>
            <w:tcW w:w="601" w:type="pct"/>
            <w:tcBorders>
              <w:tl2br w:val="nil"/>
              <w:tr2bl w:val="nil"/>
            </w:tcBorders>
            <w:shd w:val="clear" w:color="auto" w:fill="auto"/>
            <w:noWrap/>
            <w:vAlign w:val="center"/>
          </w:tcPr>
          <w:p w14:paraId="5728F30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完成30%</w:t>
            </w:r>
          </w:p>
        </w:tc>
        <w:tc>
          <w:tcPr>
            <w:tcW w:w="601" w:type="pct"/>
            <w:tcBorders>
              <w:tl2br w:val="nil"/>
              <w:tr2bl w:val="nil"/>
            </w:tcBorders>
            <w:shd w:val="clear" w:color="auto" w:fill="auto"/>
            <w:noWrap/>
            <w:vAlign w:val="center"/>
          </w:tcPr>
          <w:p w14:paraId="738CD59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完成70%</w:t>
            </w:r>
          </w:p>
        </w:tc>
        <w:tc>
          <w:tcPr>
            <w:tcW w:w="590" w:type="pct"/>
            <w:tcBorders>
              <w:tl2br w:val="nil"/>
              <w:tr2bl w:val="nil"/>
            </w:tcBorders>
            <w:shd w:val="clear" w:color="auto" w:fill="auto"/>
            <w:noWrap/>
            <w:vAlign w:val="center"/>
          </w:tcPr>
          <w:p w14:paraId="3E7026F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全部完成</w:t>
            </w:r>
          </w:p>
        </w:tc>
      </w:tr>
      <w:tr w14:paraId="7A26AC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59" w:type="pct"/>
            <w:vMerge w:val="continue"/>
            <w:tcBorders>
              <w:tl2br w:val="nil"/>
              <w:tr2bl w:val="nil"/>
            </w:tcBorders>
            <w:shd w:val="clear" w:color="auto" w:fill="auto"/>
            <w:noWrap/>
            <w:vAlign w:val="center"/>
          </w:tcPr>
          <w:p w14:paraId="51D7DFD8">
            <w:pPr>
              <w:jc w:val="center"/>
              <w:rPr>
                <w:rFonts w:hint="default" w:ascii="Times New Roman" w:hAnsi="Times New Roman" w:eastAsia="仿宋" w:cs="Times New Roman"/>
                <w:i w:val="0"/>
                <w:iCs w:val="0"/>
                <w:color w:val="000000"/>
                <w:sz w:val="22"/>
                <w:szCs w:val="22"/>
                <w:u w:val="none"/>
              </w:rPr>
            </w:pPr>
          </w:p>
        </w:tc>
        <w:tc>
          <w:tcPr>
            <w:tcW w:w="1038" w:type="pct"/>
            <w:tcBorders>
              <w:tl2br w:val="nil"/>
              <w:tr2bl w:val="nil"/>
            </w:tcBorders>
            <w:shd w:val="clear" w:color="auto" w:fill="auto"/>
            <w:noWrap/>
            <w:vAlign w:val="center"/>
          </w:tcPr>
          <w:p w14:paraId="7F246929">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2023-13-4</w:t>
            </w:r>
          </w:p>
        </w:tc>
        <w:tc>
          <w:tcPr>
            <w:tcW w:w="956" w:type="pct"/>
            <w:tcBorders>
              <w:tl2br w:val="nil"/>
              <w:tr2bl w:val="nil"/>
            </w:tcBorders>
            <w:shd w:val="clear" w:color="auto" w:fill="auto"/>
            <w:noWrap/>
            <w:vAlign w:val="center"/>
          </w:tcPr>
          <w:p w14:paraId="488FED2C">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公园绿地</w:t>
            </w:r>
          </w:p>
        </w:tc>
        <w:tc>
          <w:tcPr>
            <w:tcW w:w="752" w:type="pct"/>
            <w:tcBorders>
              <w:tl2br w:val="nil"/>
              <w:tr2bl w:val="nil"/>
            </w:tcBorders>
            <w:shd w:val="clear" w:color="auto" w:fill="auto"/>
            <w:noWrap/>
            <w:vAlign w:val="center"/>
          </w:tcPr>
          <w:p w14:paraId="3D0C2DA6">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2.9458</w:t>
            </w:r>
          </w:p>
        </w:tc>
        <w:tc>
          <w:tcPr>
            <w:tcW w:w="601" w:type="pct"/>
            <w:tcBorders>
              <w:tl2br w:val="nil"/>
              <w:tr2bl w:val="nil"/>
            </w:tcBorders>
            <w:shd w:val="clear" w:color="auto" w:fill="auto"/>
            <w:noWrap/>
            <w:vAlign w:val="center"/>
          </w:tcPr>
          <w:p w14:paraId="409212A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完成30%</w:t>
            </w:r>
          </w:p>
        </w:tc>
        <w:tc>
          <w:tcPr>
            <w:tcW w:w="601" w:type="pct"/>
            <w:tcBorders>
              <w:tl2br w:val="nil"/>
              <w:tr2bl w:val="nil"/>
            </w:tcBorders>
            <w:shd w:val="clear" w:color="auto" w:fill="auto"/>
            <w:noWrap/>
            <w:vAlign w:val="center"/>
          </w:tcPr>
          <w:p w14:paraId="69312FD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完成70%</w:t>
            </w:r>
          </w:p>
        </w:tc>
        <w:tc>
          <w:tcPr>
            <w:tcW w:w="590" w:type="pct"/>
            <w:tcBorders>
              <w:tl2br w:val="nil"/>
              <w:tr2bl w:val="nil"/>
            </w:tcBorders>
            <w:shd w:val="clear" w:color="auto" w:fill="auto"/>
            <w:noWrap/>
            <w:vAlign w:val="center"/>
          </w:tcPr>
          <w:p w14:paraId="5955F40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全部完成</w:t>
            </w:r>
          </w:p>
        </w:tc>
      </w:tr>
      <w:tr w14:paraId="7636CB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59" w:type="pct"/>
            <w:tcBorders>
              <w:tl2br w:val="nil"/>
              <w:tr2bl w:val="nil"/>
            </w:tcBorders>
            <w:shd w:val="clear" w:color="auto" w:fill="auto"/>
            <w:noWrap/>
            <w:vAlign w:val="center"/>
          </w:tcPr>
          <w:p w14:paraId="18849A44">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区块3</w:t>
            </w:r>
          </w:p>
        </w:tc>
        <w:tc>
          <w:tcPr>
            <w:tcW w:w="1038" w:type="pct"/>
            <w:tcBorders>
              <w:tl2br w:val="nil"/>
              <w:tr2bl w:val="nil"/>
            </w:tcBorders>
            <w:shd w:val="clear" w:color="auto" w:fill="auto"/>
            <w:noWrap/>
            <w:vAlign w:val="center"/>
          </w:tcPr>
          <w:p w14:paraId="04B8AB2A">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2023-12-01</w:t>
            </w:r>
          </w:p>
        </w:tc>
        <w:tc>
          <w:tcPr>
            <w:tcW w:w="956" w:type="pct"/>
            <w:tcBorders>
              <w:tl2br w:val="nil"/>
              <w:tr2bl w:val="nil"/>
            </w:tcBorders>
            <w:shd w:val="clear" w:color="auto" w:fill="auto"/>
            <w:noWrap/>
            <w:vAlign w:val="center"/>
          </w:tcPr>
          <w:p w14:paraId="2AE7C9A3">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公园绿地</w:t>
            </w:r>
          </w:p>
        </w:tc>
        <w:tc>
          <w:tcPr>
            <w:tcW w:w="752" w:type="pct"/>
            <w:tcBorders>
              <w:tl2br w:val="nil"/>
              <w:tr2bl w:val="nil"/>
            </w:tcBorders>
            <w:shd w:val="clear" w:color="auto" w:fill="auto"/>
            <w:noWrap/>
            <w:vAlign w:val="center"/>
          </w:tcPr>
          <w:p w14:paraId="09B2615C">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7.2777</w:t>
            </w:r>
          </w:p>
        </w:tc>
        <w:tc>
          <w:tcPr>
            <w:tcW w:w="601" w:type="pct"/>
            <w:tcBorders>
              <w:tl2br w:val="nil"/>
              <w:tr2bl w:val="nil"/>
            </w:tcBorders>
            <w:shd w:val="clear" w:color="auto" w:fill="auto"/>
            <w:noWrap/>
            <w:vAlign w:val="center"/>
          </w:tcPr>
          <w:p w14:paraId="0B4403C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完成30%</w:t>
            </w:r>
          </w:p>
        </w:tc>
        <w:tc>
          <w:tcPr>
            <w:tcW w:w="601" w:type="pct"/>
            <w:tcBorders>
              <w:tl2br w:val="nil"/>
              <w:tr2bl w:val="nil"/>
            </w:tcBorders>
            <w:shd w:val="clear" w:color="auto" w:fill="auto"/>
            <w:noWrap/>
            <w:vAlign w:val="center"/>
          </w:tcPr>
          <w:p w14:paraId="4B502B2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完成70%</w:t>
            </w:r>
          </w:p>
        </w:tc>
        <w:tc>
          <w:tcPr>
            <w:tcW w:w="590" w:type="pct"/>
            <w:tcBorders>
              <w:tl2br w:val="nil"/>
              <w:tr2bl w:val="nil"/>
            </w:tcBorders>
            <w:shd w:val="clear" w:color="auto" w:fill="auto"/>
            <w:noWrap/>
            <w:vAlign w:val="center"/>
          </w:tcPr>
          <w:p w14:paraId="53E904B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全部完成</w:t>
            </w:r>
          </w:p>
        </w:tc>
      </w:tr>
      <w:tr w14:paraId="4ABD67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59" w:type="pct"/>
            <w:tcBorders>
              <w:tl2br w:val="nil"/>
              <w:tr2bl w:val="nil"/>
            </w:tcBorders>
            <w:shd w:val="clear" w:color="auto" w:fill="auto"/>
            <w:noWrap/>
            <w:vAlign w:val="center"/>
          </w:tcPr>
          <w:p w14:paraId="26995341">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区块4</w:t>
            </w:r>
          </w:p>
        </w:tc>
        <w:tc>
          <w:tcPr>
            <w:tcW w:w="1038" w:type="pct"/>
            <w:tcBorders>
              <w:tl2br w:val="nil"/>
              <w:tr2bl w:val="nil"/>
            </w:tcBorders>
            <w:shd w:val="clear" w:color="auto" w:fill="auto"/>
            <w:noWrap/>
            <w:vAlign w:val="center"/>
          </w:tcPr>
          <w:p w14:paraId="706E7A39">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2023-12-02</w:t>
            </w:r>
          </w:p>
        </w:tc>
        <w:tc>
          <w:tcPr>
            <w:tcW w:w="956" w:type="pct"/>
            <w:tcBorders>
              <w:tl2br w:val="nil"/>
              <w:tr2bl w:val="nil"/>
            </w:tcBorders>
            <w:shd w:val="clear" w:color="auto" w:fill="auto"/>
            <w:noWrap/>
            <w:vAlign w:val="center"/>
          </w:tcPr>
          <w:p w14:paraId="7C9A0EA1">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公园绿地</w:t>
            </w:r>
          </w:p>
        </w:tc>
        <w:tc>
          <w:tcPr>
            <w:tcW w:w="752" w:type="pct"/>
            <w:tcBorders>
              <w:tl2br w:val="nil"/>
              <w:tr2bl w:val="nil"/>
            </w:tcBorders>
            <w:shd w:val="clear" w:color="auto" w:fill="auto"/>
            <w:noWrap/>
            <w:vAlign w:val="center"/>
          </w:tcPr>
          <w:p w14:paraId="57F6CAEE">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2.7246</w:t>
            </w:r>
          </w:p>
        </w:tc>
        <w:tc>
          <w:tcPr>
            <w:tcW w:w="601" w:type="pct"/>
            <w:tcBorders>
              <w:tl2br w:val="nil"/>
              <w:tr2bl w:val="nil"/>
            </w:tcBorders>
            <w:shd w:val="clear" w:color="auto" w:fill="auto"/>
            <w:noWrap/>
            <w:vAlign w:val="center"/>
          </w:tcPr>
          <w:p w14:paraId="07F57B8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完成30%</w:t>
            </w:r>
          </w:p>
        </w:tc>
        <w:tc>
          <w:tcPr>
            <w:tcW w:w="601" w:type="pct"/>
            <w:tcBorders>
              <w:tl2br w:val="nil"/>
              <w:tr2bl w:val="nil"/>
            </w:tcBorders>
            <w:shd w:val="clear" w:color="auto" w:fill="auto"/>
            <w:noWrap/>
            <w:vAlign w:val="center"/>
          </w:tcPr>
          <w:p w14:paraId="5C03CF3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完成70%</w:t>
            </w:r>
          </w:p>
        </w:tc>
        <w:tc>
          <w:tcPr>
            <w:tcW w:w="590" w:type="pct"/>
            <w:tcBorders>
              <w:tl2br w:val="nil"/>
              <w:tr2bl w:val="nil"/>
            </w:tcBorders>
            <w:shd w:val="clear" w:color="auto" w:fill="auto"/>
            <w:noWrap/>
            <w:vAlign w:val="center"/>
          </w:tcPr>
          <w:p w14:paraId="4D40838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全部完成</w:t>
            </w:r>
          </w:p>
        </w:tc>
      </w:tr>
      <w:tr w14:paraId="5646DF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459" w:type="pct"/>
            <w:vMerge w:val="restart"/>
            <w:tcBorders>
              <w:tl2br w:val="nil"/>
              <w:tr2bl w:val="nil"/>
            </w:tcBorders>
            <w:shd w:val="clear" w:color="auto" w:fill="auto"/>
            <w:noWrap/>
            <w:vAlign w:val="center"/>
          </w:tcPr>
          <w:p w14:paraId="5832C3BC">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区块5</w:t>
            </w:r>
          </w:p>
        </w:tc>
        <w:tc>
          <w:tcPr>
            <w:tcW w:w="1038" w:type="pct"/>
            <w:tcBorders>
              <w:tl2br w:val="nil"/>
              <w:tr2bl w:val="nil"/>
            </w:tcBorders>
            <w:shd w:val="clear" w:color="auto" w:fill="auto"/>
            <w:vAlign w:val="center"/>
          </w:tcPr>
          <w:p w14:paraId="65CB6138">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5万吨可持续航空燃料（SAF）生产项目</w:t>
            </w:r>
          </w:p>
        </w:tc>
        <w:tc>
          <w:tcPr>
            <w:tcW w:w="956" w:type="pct"/>
            <w:tcBorders>
              <w:tl2br w:val="nil"/>
              <w:tr2bl w:val="nil"/>
            </w:tcBorders>
            <w:shd w:val="clear" w:color="auto" w:fill="auto"/>
            <w:noWrap/>
            <w:vAlign w:val="center"/>
          </w:tcPr>
          <w:p w14:paraId="3C94ADE9">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二类工业用地</w:t>
            </w:r>
          </w:p>
        </w:tc>
        <w:tc>
          <w:tcPr>
            <w:tcW w:w="752" w:type="pct"/>
            <w:tcBorders>
              <w:tl2br w:val="nil"/>
              <w:tr2bl w:val="nil"/>
            </w:tcBorders>
            <w:shd w:val="clear" w:color="auto" w:fill="auto"/>
            <w:noWrap/>
            <w:vAlign w:val="center"/>
          </w:tcPr>
          <w:p w14:paraId="5E521C81">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14.8151</w:t>
            </w:r>
          </w:p>
        </w:tc>
        <w:tc>
          <w:tcPr>
            <w:tcW w:w="601" w:type="pct"/>
            <w:tcBorders>
              <w:tl2br w:val="nil"/>
              <w:tr2bl w:val="nil"/>
            </w:tcBorders>
            <w:shd w:val="clear" w:color="auto" w:fill="auto"/>
            <w:noWrap/>
            <w:vAlign w:val="center"/>
          </w:tcPr>
          <w:p w14:paraId="2EA82EB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完成30%</w:t>
            </w:r>
          </w:p>
        </w:tc>
        <w:tc>
          <w:tcPr>
            <w:tcW w:w="601" w:type="pct"/>
            <w:tcBorders>
              <w:tl2br w:val="nil"/>
              <w:tr2bl w:val="nil"/>
            </w:tcBorders>
            <w:shd w:val="clear" w:color="auto" w:fill="auto"/>
            <w:noWrap/>
            <w:vAlign w:val="center"/>
          </w:tcPr>
          <w:p w14:paraId="1F380B8A">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完成70%</w:t>
            </w:r>
          </w:p>
        </w:tc>
        <w:tc>
          <w:tcPr>
            <w:tcW w:w="590" w:type="pct"/>
            <w:tcBorders>
              <w:tl2br w:val="nil"/>
              <w:tr2bl w:val="nil"/>
            </w:tcBorders>
            <w:shd w:val="clear" w:color="auto" w:fill="auto"/>
            <w:noWrap/>
            <w:vAlign w:val="center"/>
          </w:tcPr>
          <w:p w14:paraId="66FF533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全部完成</w:t>
            </w:r>
          </w:p>
        </w:tc>
      </w:tr>
      <w:tr w14:paraId="6E9A96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10" w:hRule="atLeast"/>
        </w:trPr>
        <w:tc>
          <w:tcPr>
            <w:tcW w:w="459" w:type="pct"/>
            <w:vMerge w:val="continue"/>
            <w:tcBorders>
              <w:tl2br w:val="nil"/>
              <w:tr2bl w:val="nil"/>
            </w:tcBorders>
            <w:shd w:val="clear" w:color="auto" w:fill="auto"/>
            <w:noWrap/>
            <w:vAlign w:val="center"/>
          </w:tcPr>
          <w:p w14:paraId="3E3019C9">
            <w:pPr>
              <w:jc w:val="center"/>
              <w:rPr>
                <w:rFonts w:hint="default" w:ascii="Times New Roman" w:hAnsi="Times New Roman" w:eastAsia="仿宋" w:cs="Times New Roman"/>
                <w:i w:val="0"/>
                <w:iCs w:val="0"/>
                <w:color w:val="000000"/>
                <w:sz w:val="22"/>
                <w:szCs w:val="22"/>
                <w:u w:val="none"/>
              </w:rPr>
            </w:pPr>
          </w:p>
        </w:tc>
        <w:tc>
          <w:tcPr>
            <w:tcW w:w="1038" w:type="pct"/>
            <w:tcBorders>
              <w:tl2br w:val="nil"/>
              <w:tr2bl w:val="nil"/>
            </w:tcBorders>
            <w:shd w:val="clear" w:color="auto" w:fill="auto"/>
            <w:vAlign w:val="center"/>
          </w:tcPr>
          <w:p w14:paraId="5617693D">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黑龙江省鸡西市鸡东县 30 万吨绿氢醇航油化工联产项目</w:t>
            </w:r>
          </w:p>
        </w:tc>
        <w:tc>
          <w:tcPr>
            <w:tcW w:w="956" w:type="pct"/>
            <w:tcBorders>
              <w:tl2br w:val="nil"/>
              <w:tr2bl w:val="nil"/>
            </w:tcBorders>
            <w:shd w:val="clear" w:color="auto" w:fill="auto"/>
            <w:noWrap/>
            <w:vAlign w:val="center"/>
          </w:tcPr>
          <w:p w14:paraId="36472FB2">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二类工业用地</w:t>
            </w:r>
          </w:p>
        </w:tc>
        <w:tc>
          <w:tcPr>
            <w:tcW w:w="752" w:type="pct"/>
            <w:tcBorders>
              <w:tl2br w:val="nil"/>
              <w:tr2bl w:val="nil"/>
            </w:tcBorders>
            <w:shd w:val="clear" w:color="auto" w:fill="auto"/>
            <w:noWrap/>
            <w:vAlign w:val="center"/>
          </w:tcPr>
          <w:p w14:paraId="64ECCBF1">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28.0291</w:t>
            </w:r>
          </w:p>
        </w:tc>
        <w:tc>
          <w:tcPr>
            <w:tcW w:w="601" w:type="pct"/>
            <w:tcBorders>
              <w:tl2br w:val="nil"/>
              <w:tr2bl w:val="nil"/>
            </w:tcBorders>
            <w:shd w:val="clear" w:color="auto" w:fill="auto"/>
            <w:noWrap/>
            <w:vAlign w:val="center"/>
          </w:tcPr>
          <w:p w14:paraId="09EA605E">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完成30%</w:t>
            </w:r>
          </w:p>
        </w:tc>
        <w:tc>
          <w:tcPr>
            <w:tcW w:w="601" w:type="pct"/>
            <w:tcBorders>
              <w:tl2br w:val="nil"/>
              <w:tr2bl w:val="nil"/>
            </w:tcBorders>
            <w:shd w:val="clear" w:color="auto" w:fill="auto"/>
            <w:noWrap/>
            <w:vAlign w:val="center"/>
          </w:tcPr>
          <w:p w14:paraId="277CDD24">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完成70%</w:t>
            </w:r>
          </w:p>
        </w:tc>
        <w:tc>
          <w:tcPr>
            <w:tcW w:w="590" w:type="pct"/>
            <w:tcBorders>
              <w:tl2br w:val="nil"/>
              <w:tr2bl w:val="nil"/>
            </w:tcBorders>
            <w:shd w:val="clear" w:color="auto" w:fill="auto"/>
            <w:noWrap/>
            <w:vAlign w:val="center"/>
          </w:tcPr>
          <w:p w14:paraId="126BF270">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全部完成</w:t>
            </w:r>
          </w:p>
        </w:tc>
      </w:tr>
      <w:tr w14:paraId="2BC6D2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59" w:type="pct"/>
            <w:vMerge w:val="continue"/>
            <w:tcBorders>
              <w:tl2br w:val="nil"/>
              <w:tr2bl w:val="nil"/>
            </w:tcBorders>
            <w:shd w:val="clear" w:color="auto" w:fill="auto"/>
            <w:noWrap/>
            <w:vAlign w:val="center"/>
          </w:tcPr>
          <w:p w14:paraId="543EF463">
            <w:pPr>
              <w:jc w:val="center"/>
              <w:rPr>
                <w:rFonts w:hint="default" w:ascii="Times New Roman" w:hAnsi="Times New Roman" w:eastAsia="仿宋" w:cs="Times New Roman"/>
                <w:i w:val="0"/>
                <w:iCs w:val="0"/>
                <w:color w:val="000000"/>
                <w:sz w:val="22"/>
                <w:szCs w:val="22"/>
                <w:u w:val="none"/>
              </w:rPr>
            </w:pPr>
          </w:p>
        </w:tc>
        <w:tc>
          <w:tcPr>
            <w:tcW w:w="1038" w:type="pct"/>
            <w:tcBorders>
              <w:tl2br w:val="nil"/>
              <w:tr2bl w:val="nil"/>
            </w:tcBorders>
            <w:shd w:val="clear" w:color="auto" w:fill="auto"/>
            <w:noWrap/>
            <w:vAlign w:val="center"/>
          </w:tcPr>
          <w:p w14:paraId="427DD5A1">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项目1</w:t>
            </w:r>
          </w:p>
        </w:tc>
        <w:tc>
          <w:tcPr>
            <w:tcW w:w="956" w:type="pct"/>
            <w:tcBorders>
              <w:tl2br w:val="nil"/>
              <w:tr2bl w:val="nil"/>
            </w:tcBorders>
            <w:shd w:val="clear" w:color="auto" w:fill="auto"/>
            <w:noWrap/>
            <w:vAlign w:val="center"/>
          </w:tcPr>
          <w:p w14:paraId="79F280E1">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二类工业用地</w:t>
            </w:r>
          </w:p>
        </w:tc>
        <w:tc>
          <w:tcPr>
            <w:tcW w:w="752" w:type="pct"/>
            <w:tcBorders>
              <w:tl2br w:val="nil"/>
              <w:tr2bl w:val="nil"/>
            </w:tcBorders>
            <w:shd w:val="clear" w:color="auto" w:fill="auto"/>
            <w:noWrap/>
            <w:vAlign w:val="center"/>
          </w:tcPr>
          <w:p w14:paraId="72A321AC">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1.6803</w:t>
            </w:r>
          </w:p>
        </w:tc>
        <w:tc>
          <w:tcPr>
            <w:tcW w:w="601" w:type="pct"/>
            <w:tcBorders>
              <w:tl2br w:val="nil"/>
              <w:tr2bl w:val="nil"/>
            </w:tcBorders>
            <w:shd w:val="clear" w:color="auto" w:fill="auto"/>
            <w:noWrap/>
            <w:vAlign w:val="center"/>
          </w:tcPr>
          <w:p w14:paraId="5A9B774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完成30%</w:t>
            </w:r>
          </w:p>
        </w:tc>
        <w:tc>
          <w:tcPr>
            <w:tcW w:w="601" w:type="pct"/>
            <w:tcBorders>
              <w:tl2br w:val="nil"/>
              <w:tr2bl w:val="nil"/>
            </w:tcBorders>
            <w:shd w:val="clear" w:color="auto" w:fill="auto"/>
            <w:noWrap/>
            <w:vAlign w:val="center"/>
          </w:tcPr>
          <w:p w14:paraId="28110F9D">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完成70%</w:t>
            </w:r>
          </w:p>
        </w:tc>
        <w:tc>
          <w:tcPr>
            <w:tcW w:w="590" w:type="pct"/>
            <w:tcBorders>
              <w:tl2br w:val="nil"/>
              <w:tr2bl w:val="nil"/>
            </w:tcBorders>
            <w:shd w:val="clear" w:color="auto" w:fill="auto"/>
            <w:noWrap/>
            <w:vAlign w:val="center"/>
          </w:tcPr>
          <w:p w14:paraId="50FBDAAF">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全部完成</w:t>
            </w:r>
          </w:p>
        </w:tc>
      </w:tr>
      <w:tr w14:paraId="4BFF45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59" w:type="pct"/>
            <w:vMerge w:val="continue"/>
            <w:tcBorders>
              <w:tl2br w:val="nil"/>
              <w:tr2bl w:val="nil"/>
            </w:tcBorders>
            <w:shd w:val="clear" w:color="auto" w:fill="auto"/>
            <w:noWrap/>
            <w:vAlign w:val="center"/>
          </w:tcPr>
          <w:p w14:paraId="52898563">
            <w:pPr>
              <w:jc w:val="center"/>
              <w:rPr>
                <w:rFonts w:hint="default" w:ascii="Times New Roman" w:hAnsi="Times New Roman" w:eastAsia="仿宋" w:cs="Times New Roman"/>
                <w:i w:val="0"/>
                <w:iCs w:val="0"/>
                <w:color w:val="000000"/>
                <w:sz w:val="22"/>
                <w:szCs w:val="22"/>
                <w:u w:val="none"/>
              </w:rPr>
            </w:pPr>
          </w:p>
        </w:tc>
        <w:tc>
          <w:tcPr>
            <w:tcW w:w="1038" w:type="pct"/>
            <w:vMerge w:val="restart"/>
            <w:tcBorders>
              <w:tl2br w:val="nil"/>
              <w:tr2bl w:val="nil"/>
            </w:tcBorders>
            <w:shd w:val="clear" w:color="auto" w:fill="auto"/>
            <w:noWrap/>
            <w:vAlign w:val="center"/>
          </w:tcPr>
          <w:p w14:paraId="1839120B">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化工产业园</w:t>
            </w:r>
          </w:p>
        </w:tc>
        <w:tc>
          <w:tcPr>
            <w:tcW w:w="956" w:type="pct"/>
            <w:tcBorders>
              <w:tl2br w:val="nil"/>
              <w:tr2bl w:val="nil"/>
            </w:tcBorders>
            <w:shd w:val="clear" w:color="auto" w:fill="auto"/>
            <w:noWrap/>
            <w:vAlign w:val="center"/>
          </w:tcPr>
          <w:p w14:paraId="5F8C3C22">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城镇村道路用地</w:t>
            </w:r>
          </w:p>
        </w:tc>
        <w:tc>
          <w:tcPr>
            <w:tcW w:w="752" w:type="pct"/>
            <w:tcBorders>
              <w:tl2br w:val="nil"/>
              <w:tr2bl w:val="nil"/>
            </w:tcBorders>
            <w:shd w:val="clear" w:color="auto" w:fill="auto"/>
            <w:noWrap/>
            <w:vAlign w:val="center"/>
          </w:tcPr>
          <w:p w14:paraId="58C0A9D0">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7.1949</w:t>
            </w:r>
          </w:p>
        </w:tc>
        <w:tc>
          <w:tcPr>
            <w:tcW w:w="601" w:type="pct"/>
            <w:tcBorders>
              <w:tl2br w:val="nil"/>
              <w:tr2bl w:val="nil"/>
            </w:tcBorders>
            <w:shd w:val="clear" w:color="auto" w:fill="auto"/>
            <w:noWrap/>
            <w:vAlign w:val="center"/>
          </w:tcPr>
          <w:p w14:paraId="6777465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完成30%</w:t>
            </w:r>
          </w:p>
        </w:tc>
        <w:tc>
          <w:tcPr>
            <w:tcW w:w="601" w:type="pct"/>
            <w:tcBorders>
              <w:tl2br w:val="nil"/>
              <w:tr2bl w:val="nil"/>
            </w:tcBorders>
            <w:shd w:val="clear" w:color="auto" w:fill="auto"/>
            <w:noWrap/>
            <w:vAlign w:val="center"/>
          </w:tcPr>
          <w:p w14:paraId="4DE6248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完成70%</w:t>
            </w:r>
          </w:p>
        </w:tc>
        <w:tc>
          <w:tcPr>
            <w:tcW w:w="590" w:type="pct"/>
            <w:tcBorders>
              <w:tl2br w:val="nil"/>
              <w:tr2bl w:val="nil"/>
            </w:tcBorders>
            <w:shd w:val="clear" w:color="auto" w:fill="auto"/>
            <w:noWrap/>
            <w:vAlign w:val="center"/>
          </w:tcPr>
          <w:p w14:paraId="645C5205">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全部完成</w:t>
            </w:r>
          </w:p>
        </w:tc>
      </w:tr>
      <w:tr w14:paraId="79640E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59" w:type="pct"/>
            <w:vMerge w:val="continue"/>
            <w:tcBorders>
              <w:tl2br w:val="nil"/>
              <w:tr2bl w:val="nil"/>
            </w:tcBorders>
            <w:shd w:val="clear" w:color="auto" w:fill="auto"/>
            <w:noWrap/>
            <w:vAlign w:val="center"/>
          </w:tcPr>
          <w:p w14:paraId="5FF2B73B">
            <w:pPr>
              <w:jc w:val="center"/>
              <w:rPr>
                <w:rFonts w:hint="default" w:ascii="Times New Roman" w:hAnsi="Times New Roman" w:eastAsia="仿宋" w:cs="Times New Roman"/>
                <w:i w:val="0"/>
                <w:iCs w:val="0"/>
                <w:color w:val="000000"/>
                <w:sz w:val="22"/>
                <w:szCs w:val="22"/>
                <w:u w:val="none"/>
              </w:rPr>
            </w:pPr>
          </w:p>
        </w:tc>
        <w:tc>
          <w:tcPr>
            <w:tcW w:w="1038" w:type="pct"/>
            <w:vMerge w:val="continue"/>
            <w:tcBorders>
              <w:tl2br w:val="nil"/>
              <w:tr2bl w:val="nil"/>
            </w:tcBorders>
            <w:shd w:val="clear" w:color="auto" w:fill="auto"/>
            <w:noWrap/>
            <w:vAlign w:val="center"/>
          </w:tcPr>
          <w:p w14:paraId="7875EBFF">
            <w:pPr>
              <w:jc w:val="center"/>
              <w:rPr>
                <w:rFonts w:hint="default" w:ascii="Times New Roman" w:hAnsi="Times New Roman" w:eastAsia="仿宋" w:cs="Times New Roman"/>
                <w:i w:val="0"/>
                <w:iCs w:val="0"/>
                <w:color w:val="000000"/>
                <w:sz w:val="22"/>
                <w:szCs w:val="22"/>
                <w:u w:val="none"/>
              </w:rPr>
            </w:pPr>
          </w:p>
        </w:tc>
        <w:tc>
          <w:tcPr>
            <w:tcW w:w="956" w:type="pct"/>
            <w:tcBorders>
              <w:tl2br w:val="nil"/>
              <w:tr2bl w:val="nil"/>
            </w:tcBorders>
            <w:shd w:val="clear" w:color="auto" w:fill="auto"/>
            <w:noWrap/>
            <w:vAlign w:val="center"/>
          </w:tcPr>
          <w:p w14:paraId="3D390D86">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公园绿地</w:t>
            </w:r>
          </w:p>
        </w:tc>
        <w:tc>
          <w:tcPr>
            <w:tcW w:w="752" w:type="pct"/>
            <w:tcBorders>
              <w:tl2br w:val="nil"/>
              <w:tr2bl w:val="nil"/>
            </w:tcBorders>
            <w:shd w:val="clear" w:color="auto" w:fill="auto"/>
            <w:noWrap/>
            <w:vAlign w:val="center"/>
          </w:tcPr>
          <w:p w14:paraId="6177321F">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0.8278</w:t>
            </w:r>
          </w:p>
        </w:tc>
        <w:tc>
          <w:tcPr>
            <w:tcW w:w="601" w:type="pct"/>
            <w:tcBorders>
              <w:tl2br w:val="nil"/>
              <w:tr2bl w:val="nil"/>
            </w:tcBorders>
            <w:shd w:val="clear" w:color="auto" w:fill="auto"/>
            <w:noWrap/>
            <w:vAlign w:val="center"/>
          </w:tcPr>
          <w:p w14:paraId="057945B7">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完成30%</w:t>
            </w:r>
          </w:p>
        </w:tc>
        <w:tc>
          <w:tcPr>
            <w:tcW w:w="601" w:type="pct"/>
            <w:tcBorders>
              <w:tl2br w:val="nil"/>
              <w:tr2bl w:val="nil"/>
            </w:tcBorders>
            <w:shd w:val="clear" w:color="auto" w:fill="auto"/>
            <w:noWrap/>
            <w:vAlign w:val="center"/>
          </w:tcPr>
          <w:p w14:paraId="3DC5E3E1">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完成70%</w:t>
            </w:r>
          </w:p>
        </w:tc>
        <w:tc>
          <w:tcPr>
            <w:tcW w:w="590" w:type="pct"/>
            <w:tcBorders>
              <w:tl2br w:val="nil"/>
              <w:tr2bl w:val="nil"/>
            </w:tcBorders>
            <w:shd w:val="clear" w:color="auto" w:fill="auto"/>
            <w:noWrap/>
            <w:vAlign w:val="center"/>
          </w:tcPr>
          <w:p w14:paraId="4B1DA3F9">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全部完成</w:t>
            </w:r>
          </w:p>
        </w:tc>
      </w:tr>
      <w:tr w14:paraId="695D58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59" w:type="pct"/>
            <w:vMerge w:val="continue"/>
            <w:tcBorders>
              <w:tl2br w:val="nil"/>
              <w:tr2bl w:val="nil"/>
            </w:tcBorders>
            <w:shd w:val="clear" w:color="auto" w:fill="auto"/>
            <w:noWrap/>
            <w:vAlign w:val="center"/>
          </w:tcPr>
          <w:p w14:paraId="71D6EE01">
            <w:pPr>
              <w:jc w:val="center"/>
              <w:rPr>
                <w:rFonts w:hint="default" w:ascii="Times New Roman" w:hAnsi="Times New Roman" w:eastAsia="仿宋" w:cs="Times New Roman"/>
                <w:i w:val="0"/>
                <w:iCs w:val="0"/>
                <w:color w:val="000000"/>
                <w:sz w:val="22"/>
                <w:szCs w:val="22"/>
                <w:u w:val="none"/>
              </w:rPr>
            </w:pPr>
          </w:p>
        </w:tc>
        <w:tc>
          <w:tcPr>
            <w:tcW w:w="1038" w:type="pct"/>
            <w:vMerge w:val="continue"/>
            <w:tcBorders>
              <w:tl2br w:val="nil"/>
              <w:tr2bl w:val="nil"/>
            </w:tcBorders>
            <w:shd w:val="clear" w:color="auto" w:fill="auto"/>
            <w:noWrap/>
            <w:vAlign w:val="center"/>
          </w:tcPr>
          <w:p w14:paraId="2ADD084D">
            <w:pPr>
              <w:jc w:val="center"/>
              <w:rPr>
                <w:rFonts w:hint="default" w:ascii="Times New Roman" w:hAnsi="Times New Roman" w:eastAsia="仿宋" w:cs="Times New Roman"/>
                <w:i w:val="0"/>
                <w:iCs w:val="0"/>
                <w:color w:val="000000"/>
                <w:sz w:val="22"/>
                <w:szCs w:val="22"/>
                <w:u w:val="none"/>
              </w:rPr>
            </w:pPr>
          </w:p>
        </w:tc>
        <w:tc>
          <w:tcPr>
            <w:tcW w:w="956" w:type="pct"/>
            <w:tcBorders>
              <w:tl2br w:val="nil"/>
              <w:tr2bl w:val="nil"/>
            </w:tcBorders>
            <w:shd w:val="clear" w:color="auto" w:fill="auto"/>
            <w:noWrap/>
            <w:vAlign w:val="center"/>
          </w:tcPr>
          <w:p w14:paraId="5397D854">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水域</w:t>
            </w:r>
          </w:p>
        </w:tc>
        <w:tc>
          <w:tcPr>
            <w:tcW w:w="752" w:type="pct"/>
            <w:tcBorders>
              <w:tl2br w:val="nil"/>
              <w:tr2bl w:val="nil"/>
            </w:tcBorders>
            <w:shd w:val="clear" w:color="auto" w:fill="auto"/>
            <w:noWrap/>
            <w:vAlign w:val="center"/>
          </w:tcPr>
          <w:p w14:paraId="6E6F12A0">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0.8245</w:t>
            </w:r>
          </w:p>
        </w:tc>
        <w:tc>
          <w:tcPr>
            <w:tcW w:w="601" w:type="pct"/>
            <w:tcBorders>
              <w:tl2br w:val="nil"/>
              <w:tr2bl w:val="nil"/>
            </w:tcBorders>
            <w:shd w:val="clear" w:color="auto" w:fill="auto"/>
            <w:noWrap/>
            <w:vAlign w:val="center"/>
          </w:tcPr>
          <w:p w14:paraId="0E875E0C">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完成30%</w:t>
            </w:r>
          </w:p>
        </w:tc>
        <w:tc>
          <w:tcPr>
            <w:tcW w:w="601" w:type="pct"/>
            <w:tcBorders>
              <w:tl2br w:val="nil"/>
              <w:tr2bl w:val="nil"/>
            </w:tcBorders>
            <w:shd w:val="clear" w:color="auto" w:fill="auto"/>
            <w:noWrap/>
            <w:vAlign w:val="center"/>
          </w:tcPr>
          <w:p w14:paraId="62D6B2BB">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完成70%</w:t>
            </w:r>
          </w:p>
        </w:tc>
        <w:tc>
          <w:tcPr>
            <w:tcW w:w="590" w:type="pct"/>
            <w:tcBorders>
              <w:tl2br w:val="nil"/>
              <w:tr2bl w:val="nil"/>
            </w:tcBorders>
            <w:shd w:val="clear" w:color="auto" w:fill="auto"/>
            <w:noWrap/>
            <w:vAlign w:val="center"/>
          </w:tcPr>
          <w:p w14:paraId="6A36AD26">
            <w:pPr>
              <w:keepNext w:val="0"/>
              <w:keepLines w:val="0"/>
              <w:widowControl/>
              <w:suppressLineNumbers w:val="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全部完成</w:t>
            </w:r>
          </w:p>
        </w:tc>
      </w:tr>
    </w:tbl>
    <w:p w14:paraId="51667384">
      <w:pPr>
        <w:rPr>
          <w:rFonts w:hint="default" w:ascii="Times New Roman" w:hAnsi="Times New Roman" w:cs="Times New Roman"/>
        </w:rPr>
      </w:pPr>
      <w:r>
        <w:rPr>
          <w:rFonts w:hint="default" w:ascii="Times New Roman" w:hAnsi="Times New Roman" w:cs="Times New Roman"/>
        </w:rPr>
        <w:br w:type="page"/>
      </w:r>
    </w:p>
    <w:p w14:paraId="54F6640C">
      <w:pPr>
        <w:pStyle w:val="2"/>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黑体" w:cs="Times New Roman"/>
          <w:sz w:val="32"/>
          <w:szCs w:val="32"/>
        </w:rPr>
      </w:pPr>
      <w:bookmarkStart w:id="137" w:name="_Toc13272"/>
      <w:bookmarkStart w:id="138" w:name="_Toc3663"/>
      <w:r>
        <w:rPr>
          <w:rFonts w:hint="default" w:ascii="Times New Roman" w:hAnsi="Times New Roman" w:eastAsia="黑体" w:cs="Times New Roman"/>
          <w:sz w:val="32"/>
          <w:szCs w:val="32"/>
        </w:rPr>
        <w:t>8.土地征收成片开发用途、功能和公益性用地比例</w:t>
      </w:r>
      <w:bookmarkEnd w:id="137"/>
      <w:bookmarkEnd w:id="138"/>
    </w:p>
    <w:p w14:paraId="426AACB4">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139" w:name="_Toc28311"/>
      <w:bookmarkStart w:id="140" w:name="_Toc18783"/>
      <w:r>
        <w:rPr>
          <w:rFonts w:hint="default" w:ascii="Times New Roman" w:hAnsi="Times New Roman" w:eastAsia="方正楷体_GB2312" w:cs="Times New Roman"/>
        </w:rPr>
        <w:t>8.1主要用途</w:t>
      </w:r>
      <w:bookmarkEnd w:id="139"/>
      <w:bookmarkEnd w:id="140"/>
    </w:p>
    <w:p w14:paraId="1D2FD604">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方案中将</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2025年度土地征收成片开发项目打造成为集生活、生产为一体；文化、服务等多产业融合的专业化综合产业园区。</w:t>
      </w:r>
      <w:r>
        <w:rPr>
          <w:rFonts w:hint="default" w:ascii="Times New Roman" w:hAnsi="Times New Roman" w:eastAsia="仿宋" w:cs="Times New Roman"/>
          <w:color w:val="333333"/>
          <w:spacing w:val="8"/>
          <w:sz w:val="32"/>
          <w:szCs w:val="32"/>
          <w:lang w:val="en-US" w:eastAsia="zh-CN"/>
        </w:rPr>
        <w:t>土地规划用途</w:t>
      </w:r>
      <w:r>
        <w:rPr>
          <w:rFonts w:hint="default" w:ascii="Times New Roman" w:hAnsi="Times New Roman" w:eastAsia="仿宋" w:cs="Times New Roman"/>
          <w:color w:val="333333"/>
          <w:spacing w:val="8"/>
          <w:sz w:val="32"/>
          <w:szCs w:val="32"/>
          <w:lang w:eastAsia="zh-CN"/>
        </w:rPr>
        <w:t>详见表8-1。</w:t>
      </w:r>
    </w:p>
    <w:p w14:paraId="58B51184">
      <w:pPr>
        <w:jc w:val="center"/>
        <w:rPr>
          <w:rFonts w:hint="default" w:ascii="Times New Roman" w:hAnsi="Times New Roman" w:eastAsia="黑体" w:cs="Times New Roman"/>
          <w:b/>
          <w:bCs/>
          <w:color w:val="333333"/>
          <w:spacing w:val="8"/>
          <w:kern w:val="2"/>
          <w:sz w:val="21"/>
          <w:szCs w:val="21"/>
          <w:lang w:val="en-US" w:eastAsia="zh-CN" w:bidi="ar-SA"/>
        </w:rPr>
      </w:pPr>
      <w:r>
        <w:rPr>
          <w:rFonts w:hint="default" w:ascii="Times New Roman" w:hAnsi="Times New Roman" w:eastAsia="黑体" w:cs="Times New Roman"/>
          <w:b/>
          <w:bCs/>
          <w:color w:val="333333"/>
          <w:spacing w:val="8"/>
          <w:kern w:val="2"/>
          <w:sz w:val="21"/>
          <w:szCs w:val="21"/>
          <w:lang w:val="en-US" w:eastAsia="zh-CN" w:bidi="ar-SA"/>
        </w:rPr>
        <w:t>表8-1 土地用途、面积及实现功能表</w:t>
      </w:r>
    </w:p>
    <w:tbl>
      <w:tblPr>
        <w:tblStyle w:val="20"/>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430"/>
        <w:gridCol w:w="3080"/>
        <w:gridCol w:w="2386"/>
        <w:gridCol w:w="2048"/>
      </w:tblGrid>
      <w:tr w14:paraId="684D62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799" w:type="pct"/>
            <w:tcBorders>
              <w:tl2br w:val="nil"/>
              <w:tr2bl w:val="nil"/>
            </w:tcBorders>
            <w:shd w:val="clear" w:color="auto" w:fill="auto"/>
            <w:noWrap/>
            <w:vAlign w:val="center"/>
          </w:tcPr>
          <w:p w14:paraId="3890F982">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区块</w:t>
            </w:r>
          </w:p>
        </w:tc>
        <w:tc>
          <w:tcPr>
            <w:tcW w:w="1721" w:type="pct"/>
            <w:tcBorders>
              <w:tl2br w:val="nil"/>
              <w:tr2bl w:val="nil"/>
            </w:tcBorders>
            <w:shd w:val="clear" w:color="auto" w:fill="auto"/>
            <w:noWrap/>
            <w:vAlign w:val="center"/>
          </w:tcPr>
          <w:p w14:paraId="525ACD11">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地块名称</w:t>
            </w:r>
          </w:p>
        </w:tc>
        <w:tc>
          <w:tcPr>
            <w:tcW w:w="1333" w:type="pct"/>
            <w:tcBorders>
              <w:tl2br w:val="nil"/>
              <w:tr2bl w:val="nil"/>
            </w:tcBorders>
            <w:shd w:val="clear" w:color="auto" w:fill="auto"/>
            <w:noWrap/>
            <w:vAlign w:val="center"/>
          </w:tcPr>
          <w:p w14:paraId="13B7013B">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地类名称</w:t>
            </w:r>
          </w:p>
        </w:tc>
        <w:tc>
          <w:tcPr>
            <w:tcW w:w="1144" w:type="pct"/>
            <w:tcBorders>
              <w:tl2br w:val="nil"/>
              <w:tr2bl w:val="nil"/>
            </w:tcBorders>
            <w:shd w:val="clear" w:color="auto" w:fill="auto"/>
            <w:noWrap/>
            <w:vAlign w:val="center"/>
          </w:tcPr>
          <w:p w14:paraId="5492EAB8">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面积（公顷）</w:t>
            </w:r>
          </w:p>
        </w:tc>
      </w:tr>
      <w:tr w14:paraId="351068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799" w:type="pct"/>
            <w:vMerge w:val="restart"/>
            <w:tcBorders>
              <w:tl2br w:val="nil"/>
              <w:tr2bl w:val="nil"/>
            </w:tcBorders>
            <w:shd w:val="clear" w:color="auto" w:fill="auto"/>
            <w:noWrap/>
            <w:vAlign w:val="center"/>
          </w:tcPr>
          <w:p w14:paraId="5FB155DA">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区块1</w:t>
            </w:r>
          </w:p>
        </w:tc>
        <w:tc>
          <w:tcPr>
            <w:tcW w:w="1721" w:type="pct"/>
            <w:tcBorders>
              <w:tl2br w:val="nil"/>
              <w:tr2bl w:val="nil"/>
            </w:tcBorders>
            <w:shd w:val="clear" w:color="auto" w:fill="auto"/>
            <w:noWrap/>
            <w:vAlign w:val="center"/>
          </w:tcPr>
          <w:p w14:paraId="0142D66C">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2023-13-1</w:t>
            </w:r>
          </w:p>
        </w:tc>
        <w:tc>
          <w:tcPr>
            <w:tcW w:w="1333" w:type="pct"/>
            <w:tcBorders>
              <w:tl2br w:val="nil"/>
              <w:tr2bl w:val="nil"/>
            </w:tcBorders>
            <w:shd w:val="clear" w:color="auto" w:fill="auto"/>
            <w:noWrap/>
            <w:vAlign w:val="center"/>
          </w:tcPr>
          <w:p w14:paraId="279300CD">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公园绿地</w:t>
            </w:r>
          </w:p>
        </w:tc>
        <w:tc>
          <w:tcPr>
            <w:tcW w:w="1144" w:type="pct"/>
            <w:tcBorders>
              <w:tl2br w:val="nil"/>
              <w:tr2bl w:val="nil"/>
            </w:tcBorders>
            <w:shd w:val="clear" w:color="auto" w:fill="auto"/>
            <w:noWrap/>
            <w:vAlign w:val="center"/>
          </w:tcPr>
          <w:p w14:paraId="1F63D6C4">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5.2155</w:t>
            </w:r>
          </w:p>
        </w:tc>
      </w:tr>
      <w:tr w14:paraId="34A4F2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799" w:type="pct"/>
            <w:vMerge w:val="continue"/>
            <w:tcBorders>
              <w:tl2br w:val="nil"/>
              <w:tr2bl w:val="nil"/>
            </w:tcBorders>
            <w:shd w:val="clear" w:color="auto" w:fill="auto"/>
            <w:noWrap/>
            <w:vAlign w:val="center"/>
          </w:tcPr>
          <w:p w14:paraId="33F09B12">
            <w:pPr>
              <w:jc w:val="center"/>
              <w:rPr>
                <w:rFonts w:hint="default" w:ascii="Times New Roman" w:hAnsi="Times New Roman" w:eastAsia="仿宋" w:cs="Times New Roman"/>
                <w:i w:val="0"/>
                <w:iCs w:val="0"/>
                <w:color w:val="000000"/>
                <w:sz w:val="22"/>
                <w:szCs w:val="22"/>
                <w:u w:val="none"/>
              </w:rPr>
            </w:pPr>
          </w:p>
        </w:tc>
        <w:tc>
          <w:tcPr>
            <w:tcW w:w="1721" w:type="pct"/>
            <w:tcBorders>
              <w:tl2br w:val="nil"/>
              <w:tr2bl w:val="nil"/>
            </w:tcBorders>
            <w:shd w:val="clear" w:color="auto" w:fill="auto"/>
            <w:noWrap/>
            <w:vAlign w:val="center"/>
          </w:tcPr>
          <w:p w14:paraId="3D6AA87C">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2023-13-2</w:t>
            </w:r>
          </w:p>
        </w:tc>
        <w:tc>
          <w:tcPr>
            <w:tcW w:w="1333" w:type="pct"/>
            <w:tcBorders>
              <w:tl2br w:val="nil"/>
              <w:tr2bl w:val="nil"/>
            </w:tcBorders>
            <w:shd w:val="clear" w:color="auto" w:fill="auto"/>
            <w:noWrap/>
            <w:vAlign w:val="center"/>
          </w:tcPr>
          <w:p w14:paraId="121BD11E">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体育用地</w:t>
            </w:r>
          </w:p>
        </w:tc>
        <w:tc>
          <w:tcPr>
            <w:tcW w:w="1144" w:type="pct"/>
            <w:tcBorders>
              <w:tl2br w:val="nil"/>
              <w:tr2bl w:val="nil"/>
            </w:tcBorders>
            <w:shd w:val="clear" w:color="auto" w:fill="auto"/>
            <w:noWrap/>
            <w:vAlign w:val="center"/>
          </w:tcPr>
          <w:p w14:paraId="3AA6005F">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1.709</w:t>
            </w:r>
          </w:p>
        </w:tc>
      </w:tr>
      <w:tr w14:paraId="62D78F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799" w:type="pct"/>
            <w:vMerge w:val="restart"/>
            <w:tcBorders>
              <w:tl2br w:val="nil"/>
              <w:tr2bl w:val="nil"/>
            </w:tcBorders>
            <w:shd w:val="clear" w:color="auto" w:fill="auto"/>
            <w:noWrap/>
            <w:vAlign w:val="center"/>
          </w:tcPr>
          <w:p w14:paraId="3D7C4BE5">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区块2</w:t>
            </w:r>
          </w:p>
        </w:tc>
        <w:tc>
          <w:tcPr>
            <w:tcW w:w="1721" w:type="pct"/>
            <w:tcBorders>
              <w:tl2br w:val="nil"/>
              <w:tr2bl w:val="nil"/>
            </w:tcBorders>
            <w:shd w:val="clear" w:color="auto" w:fill="auto"/>
            <w:noWrap/>
            <w:vAlign w:val="center"/>
          </w:tcPr>
          <w:p w14:paraId="4726BDA1">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公益1</w:t>
            </w:r>
          </w:p>
        </w:tc>
        <w:tc>
          <w:tcPr>
            <w:tcW w:w="1333" w:type="pct"/>
            <w:tcBorders>
              <w:tl2br w:val="nil"/>
              <w:tr2bl w:val="nil"/>
            </w:tcBorders>
            <w:shd w:val="clear" w:color="auto" w:fill="auto"/>
            <w:noWrap/>
            <w:vAlign w:val="center"/>
          </w:tcPr>
          <w:p w14:paraId="6C6AD7BD">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交通场站用地</w:t>
            </w:r>
          </w:p>
        </w:tc>
        <w:tc>
          <w:tcPr>
            <w:tcW w:w="1144" w:type="pct"/>
            <w:tcBorders>
              <w:tl2br w:val="nil"/>
              <w:tr2bl w:val="nil"/>
            </w:tcBorders>
            <w:shd w:val="clear" w:color="auto" w:fill="auto"/>
            <w:noWrap/>
            <w:vAlign w:val="center"/>
          </w:tcPr>
          <w:p w14:paraId="7518EA94">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2.0365</w:t>
            </w:r>
          </w:p>
        </w:tc>
      </w:tr>
      <w:tr w14:paraId="6B12FC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799" w:type="pct"/>
            <w:vMerge w:val="continue"/>
            <w:tcBorders>
              <w:tl2br w:val="nil"/>
              <w:tr2bl w:val="nil"/>
            </w:tcBorders>
            <w:shd w:val="clear" w:color="auto" w:fill="auto"/>
            <w:noWrap/>
            <w:vAlign w:val="center"/>
          </w:tcPr>
          <w:p w14:paraId="2808CC16">
            <w:pPr>
              <w:jc w:val="center"/>
              <w:rPr>
                <w:rFonts w:hint="default" w:ascii="Times New Roman" w:hAnsi="Times New Roman" w:eastAsia="仿宋" w:cs="Times New Roman"/>
                <w:i w:val="0"/>
                <w:iCs w:val="0"/>
                <w:color w:val="000000"/>
                <w:sz w:val="22"/>
                <w:szCs w:val="22"/>
                <w:u w:val="none"/>
              </w:rPr>
            </w:pPr>
          </w:p>
        </w:tc>
        <w:tc>
          <w:tcPr>
            <w:tcW w:w="1721" w:type="pct"/>
            <w:tcBorders>
              <w:tl2br w:val="nil"/>
              <w:tr2bl w:val="nil"/>
            </w:tcBorders>
            <w:shd w:val="clear" w:color="auto" w:fill="auto"/>
            <w:noWrap/>
            <w:vAlign w:val="center"/>
          </w:tcPr>
          <w:p w14:paraId="6708AF1B">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2023-13-3</w:t>
            </w:r>
          </w:p>
        </w:tc>
        <w:tc>
          <w:tcPr>
            <w:tcW w:w="1333" w:type="pct"/>
            <w:tcBorders>
              <w:tl2br w:val="nil"/>
              <w:tr2bl w:val="nil"/>
            </w:tcBorders>
            <w:shd w:val="clear" w:color="auto" w:fill="auto"/>
            <w:noWrap/>
            <w:vAlign w:val="center"/>
          </w:tcPr>
          <w:p w14:paraId="105476A6">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体育用地</w:t>
            </w:r>
          </w:p>
        </w:tc>
        <w:tc>
          <w:tcPr>
            <w:tcW w:w="1144" w:type="pct"/>
            <w:tcBorders>
              <w:tl2br w:val="nil"/>
              <w:tr2bl w:val="nil"/>
            </w:tcBorders>
            <w:shd w:val="clear" w:color="auto" w:fill="auto"/>
            <w:noWrap/>
            <w:vAlign w:val="center"/>
          </w:tcPr>
          <w:p w14:paraId="4217CE3E">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0.1799</w:t>
            </w:r>
          </w:p>
        </w:tc>
      </w:tr>
      <w:tr w14:paraId="29E20C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799" w:type="pct"/>
            <w:vMerge w:val="continue"/>
            <w:tcBorders>
              <w:tl2br w:val="nil"/>
              <w:tr2bl w:val="nil"/>
            </w:tcBorders>
            <w:shd w:val="clear" w:color="auto" w:fill="auto"/>
            <w:noWrap/>
            <w:vAlign w:val="center"/>
          </w:tcPr>
          <w:p w14:paraId="670DD260">
            <w:pPr>
              <w:jc w:val="center"/>
              <w:rPr>
                <w:rFonts w:hint="default" w:ascii="Times New Roman" w:hAnsi="Times New Roman" w:eastAsia="仿宋" w:cs="Times New Roman"/>
                <w:i w:val="0"/>
                <w:iCs w:val="0"/>
                <w:color w:val="000000"/>
                <w:sz w:val="22"/>
                <w:szCs w:val="22"/>
                <w:u w:val="none"/>
              </w:rPr>
            </w:pPr>
          </w:p>
        </w:tc>
        <w:tc>
          <w:tcPr>
            <w:tcW w:w="1721" w:type="pct"/>
            <w:tcBorders>
              <w:tl2br w:val="nil"/>
              <w:tr2bl w:val="nil"/>
            </w:tcBorders>
            <w:shd w:val="clear" w:color="auto" w:fill="auto"/>
            <w:noWrap/>
            <w:vAlign w:val="center"/>
          </w:tcPr>
          <w:p w14:paraId="2E01F311">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2023-13-4</w:t>
            </w:r>
          </w:p>
        </w:tc>
        <w:tc>
          <w:tcPr>
            <w:tcW w:w="1333" w:type="pct"/>
            <w:tcBorders>
              <w:tl2br w:val="nil"/>
              <w:tr2bl w:val="nil"/>
            </w:tcBorders>
            <w:shd w:val="clear" w:color="auto" w:fill="auto"/>
            <w:noWrap/>
            <w:vAlign w:val="center"/>
          </w:tcPr>
          <w:p w14:paraId="0A3EDE07">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公园绿地</w:t>
            </w:r>
          </w:p>
        </w:tc>
        <w:tc>
          <w:tcPr>
            <w:tcW w:w="1144" w:type="pct"/>
            <w:tcBorders>
              <w:tl2br w:val="nil"/>
              <w:tr2bl w:val="nil"/>
            </w:tcBorders>
            <w:shd w:val="clear" w:color="auto" w:fill="auto"/>
            <w:noWrap/>
            <w:vAlign w:val="center"/>
          </w:tcPr>
          <w:p w14:paraId="0F739E59">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2.9458</w:t>
            </w:r>
          </w:p>
        </w:tc>
      </w:tr>
      <w:tr w14:paraId="62A36D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799" w:type="pct"/>
            <w:tcBorders>
              <w:tl2br w:val="nil"/>
              <w:tr2bl w:val="nil"/>
            </w:tcBorders>
            <w:shd w:val="clear" w:color="auto" w:fill="auto"/>
            <w:noWrap/>
            <w:vAlign w:val="center"/>
          </w:tcPr>
          <w:p w14:paraId="48EA2DE8">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区块3</w:t>
            </w:r>
          </w:p>
        </w:tc>
        <w:tc>
          <w:tcPr>
            <w:tcW w:w="1721" w:type="pct"/>
            <w:tcBorders>
              <w:tl2br w:val="nil"/>
              <w:tr2bl w:val="nil"/>
            </w:tcBorders>
            <w:shd w:val="clear" w:color="auto" w:fill="auto"/>
            <w:noWrap/>
            <w:vAlign w:val="center"/>
          </w:tcPr>
          <w:p w14:paraId="4AA2EB27">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2023-12-01</w:t>
            </w:r>
          </w:p>
        </w:tc>
        <w:tc>
          <w:tcPr>
            <w:tcW w:w="1333" w:type="pct"/>
            <w:tcBorders>
              <w:tl2br w:val="nil"/>
              <w:tr2bl w:val="nil"/>
            </w:tcBorders>
            <w:shd w:val="clear" w:color="auto" w:fill="auto"/>
            <w:noWrap/>
            <w:vAlign w:val="center"/>
          </w:tcPr>
          <w:p w14:paraId="29615589">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公园绿地</w:t>
            </w:r>
          </w:p>
        </w:tc>
        <w:tc>
          <w:tcPr>
            <w:tcW w:w="1144" w:type="pct"/>
            <w:tcBorders>
              <w:tl2br w:val="nil"/>
              <w:tr2bl w:val="nil"/>
            </w:tcBorders>
            <w:shd w:val="clear" w:color="auto" w:fill="auto"/>
            <w:noWrap/>
            <w:vAlign w:val="center"/>
          </w:tcPr>
          <w:p w14:paraId="511C4EB5">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7.2777</w:t>
            </w:r>
          </w:p>
        </w:tc>
      </w:tr>
      <w:tr w14:paraId="7718F3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799" w:type="pct"/>
            <w:tcBorders>
              <w:tl2br w:val="nil"/>
              <w:tr2bl w:val="nil"/>
            </w:tcBorders>
            <w:shd w:val="clear" w:color="auto" w:fill="auto"/>
            <w:noWrap/>
            <w:vAlign w:val="center"/>
          </w:tcPr>
          <w:p w14:paraId="1B03561D">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区块4</w:t>
            </w:r>
          </w:p>
        </w:tc>
        <w:tc>
          <w:tcPr>
            <w:tcW w:w="1721" w:type="pct"/>
            <w:tcBorders>
              <w:tl2br w:val="nil"/>
              <w:tr2bl w:val="nil"/>
            </w:tcBorders>
            <w:shd w:val="clear" w:color="auto" w:fill="auto"/>
            <w:noWrap/>
            <w:vAlign w:val="center"/>
          </w:tcPr>
          <w:p w14:paraId="1A398FE3">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2023-12-02</w:t>
            </w:r>
          </w:p>
        </w:tc>
        <w:tc>
          <w:tcPr>
            <w:tcW w:w="1333" w:type="pct"/>
            <w:tcBorders>
              <w:tl2br w:val="nil"/>
              <w:tr2bl w:val="nil"/>
            </w:tcBorders>
            <w:shd w:val="clear" w:color="auto" w:fill="auto"/>
            <w:noWrap/>
            <w:vAlign w:val="center"/>
          </w:tcPr>
          <w:p w14:paraId="3EC0ED9C">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公园绿地</w:t>
            </w:r>
          </w:p>
        </w:tc>
        <w:tc>
          <w:tcPr>
            <w:tcW w:w="1144" w:type="pct"/>
            <w:tcBorders>
              <w:tl2br w:val="nil"/>
              <w:tr2bl w:val="nil"/>
            </w:tcBorders>
            <w:shd w:val="clear" w:color="auto" w:fill="auto"/>
            <w:noWrap/>
            <w:vAlign w:val="center"/>
          </w:tcPr>
          <w:p w14:paraId="17FF8C60">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2.7246</w:t>
            </w:r>
          </w:p>
        </w:tc>
      </w:tr>
      <w:tr w14:paraId="14D987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799" w:type="pct"/>
            <w:vMerge w:val="restart"/>
            <w:tcBorders>
              <w:tl2br w:val="nil"/>
              <w:tr2bl w:val="nil"/>
            </w:tcBorders>
            <w:shd w:val="clear" w:color="auto" w:fill="auto"/>
            <w:noWrap/>
            <w:vAlign w:val="center"/>
          </w:tcPr>
          <w:p w14:paraId="3016C5F9">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区块5</w:t>
            </w:r>
          </w:p>
        </w:tc>
        <w:tc>
          <w:tcPr>
            <w:tcW w:w="1721" w:type="pct"/>
            <w:tcBorders>
              <w:tl2br w:val="nil"/>
              <w:tr2bl w:val="nil"/>
            </w:tcBorders>
            <w:shd w:val="clear" w:color="auto" w:fill="auto"/>
            <w:vAlign w:val="center"/>
          </w:tcPr>
          <w:p w14:paraId="754B3583">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5万吨可持续航空燃料（SAF）生产项目</w:t>
            </w:r>
          </w:p>
        </w:tc>
        <w:tc>
          <w:tcPr>
            <w:tcW w:w="1333" w:type="pct"/>
            <w:tcBorders>
              <w:tl2br w:val="nil"/>
              <w:tr2bl w:val="nil"/>
            </w:tcBorders>
            <w:shd w:val="clear" w:color="auto" w:fill="auto"/>
            <w:noWrap/>
            <w:vAlign w:val="center"/>
          </w:tcPr>
          <w:p w14:paraId="3E82DFEC">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二类工业用地</w:t>
            </w:r>
          </w:p>
        </w:tc>
        <w:tc>
          <w:tcPr>
            <w:tcW w:w="1144" w:type="pct"/>
            <w:tcBorders>
              <w:tl2br w:val="nil"/>
              <w:tr2bl w:val="nil"/>
            </w:tcBorders>
            <w:shd w:val="clear" w:color="auto" w:fill="auto"/>
            <w:noWrap/>
            <w:vAlign w:val="center"/>
          </w:tcPr>
          <w:p w14:paraId="0A694DF4">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14.8151</w:t>
            </w:r>
          </w:p>
        </w:tc>
      </w:tr>
      <w:tr w14:paraId="3F4946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10" w:hRule="atLeast"/>
        </w:trPr>
        <w:tc>
          <w:tcPr>
            <w:tcW w:w="799" w:type="pct"/>
            <w:vMerge w:val="continue"/>
            <w:tcBorders>
              <w:tl2br w:val="nil"/>
              <w:tr2bl w:val="nil"/>
            </w:tcBorders>
            <w:shd w:val="clear" w:color="auto" w:fill="auto"/>
            <w:noWrap/>
            <w:vAlign w:val="center"/>
          </w:tcPr>
          <w:p w14:paraId="3397B9BF">
            <w:pPr>
              <w:jc w:val="center"/>
              <w:rPr>
                <w:rFonts w:hint="default" w:ascii="Times New Roman" w:hAnsi="Times New Roman" w:eastAsia="仿宋" w:cs="Times New Roman"/>
                <w:i w:val="0"/>
                <w:iCs w:val="0"/>
                <w:color w:val="000000"/>
                <w:sz w:val="22"/>
                <w:szCs w:val="22"/>
                <w:u w:val="none"/>
              </w:rPr>
            </w:pPr>
          </w:p>
        </w:tc>
        <w:tc>
          <w:tcPr>
            <w:tcW w:w="1721" w:type="pct"/>
            <w:tcBorders>
              <w:tl2br w:val="nil"/>
              <w:tr2bl w:val="nil"/>
            </w:tcBorders>
            <w:shd w:val="clear" w:color="auto" w:fill="auto"/>
            <w:vAlign w:val="center"/>
          </w:tcPr>
          <w:p w14:paraId="1112F971">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黑龙江省鸡西市鸡东县30万吨绿氢醇航油化工联产项目</w:t>
            </w:r>
          </w:p>
        </w:tc>
        <w:tc>
          <w:tcPr>
            <w:tcW w:w="1333" w:type="pct"/>
            <w:tcBorders>
              <w:tl2br w:val="nil"/>
              <w:tr2bl w:val="nil"/>
            </w:tcBorders>
            <w:shd w:val="clear" w:color="auto" w:fill="auto"/>
            <w:noWrap/>
            <w:vAlign w:val="center"/>
          </w:tcPr>
          <w:p w14:paraId="6C926317">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二类工业用地</w:t>
            </w:r>
          </w:p>
        </w:tc>
        <w:tc>
          <w:tcPr>
            <w:tcW w:w="1144" w:type="pct"/>
            <w:tcBorders>
              <w:tl2br w:val="nil"/>
              <w:tr2bl w:val="nil"/>
            </w:tcBorders>
            <w:shd w:val="clear" w:color="auto" w:fill="auto"/>
            <w:noWrap/>
            <w:vAlign w:val="center"/>
          </w:tcPr>
          <w:p w14:paraId="4845910A">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28.0291</w:t>
            </w:r>
          </w:p>
        </w:tc>
      </w:tr>
      <w:tr w14:paraId="329D52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799" w:type="pct"/>
            <w:vMerge w:val="continue"/>
            <w:tcBorders>
              <w:tl2br w:val="nil"/>
              <w:tr2bl w:val="nil"/>
            </w:tcBorders>
            <w:shd w:val="clear" w:color="auto" w:fill="auto"/>
            <w:noWrap/>
            <w:vAlign w:val="center"/>
          </w:tcPr>
          <w:p w14:paraId="3F330CA2">
            <w:pPr>
              <w:jc w:val="center"/>
              <w:rPr>
                <w:rFonts w:hint="default" w:ascii="Times New Roman" w:hAnsi="Times New Roman" w:eastAsia="仿宋" w:cs="Times New Roman"/>
                <w:i w:val="0"/>
                <w:iCs w:val="0"/>
                <w:color w:val="000000"/>
                <w:sz w:val="22"/>
                <w:szCs w:val="22"/>
                <w:u w:val="none"/>
              </w:rPr>
            </w:pPr>
          </w:p>
        </w:tc>
        <w:tc>
          <w:tcPr>
            <w:tcW w:w="1721" w:type="pct"/>
            <w:tcBorders>
              <w:tl2br w:val="nil"/>
              <w:tr2bl w:val="nil"/>
            </w:tcBorders>
            <w:shd w:val="clear" w:color="auto" w:fill="auto"/>
            <w:noWrap/>
            <w:vAlign w:val="center"/>
          </w:tcPr>
          <w:p w14:paraId="31174345">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项目1</w:t>
            </w:r>
          </w:p>
        </w:tc>
        <w:tc>
          <w:tcPr>
            <w:tcW w:w="1333" w:type="pct"/>
            <w:tcBorders>
              <w:tl2br w:val="nil"/>
              <w:tr2bl w:val="nil"/>
            </w:tcBorders>
            <w:shd w:val="clear" w:color="auto" w:fill="auto"/>
            <w:noWrap/>
            <w:vAlign w:val="center"/>
          </w:tcPr>
          <w:p w14:paraId="6309CAAD">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二类工业用地</w:t>
            </w:r>
          </w:p>
        </w:tc>
        <w:tc>
          <w:tcPr>
            <w:tcW w:w="1144" w:type="pct"/>
            <w:tcBorders>
              <w:tl2br w:val="nil"/>
              <w:tr2bl w:val="nil"/>
            </w:tcBorders>
            <w:shd w:val="clear" w:color="auto" w:fill="auto"/>
            <w:noWrap/>
            <w:vAlign w:val="center"/>
          </w:tcPr>
          <w:p w14:paraId="4A54C857">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1.6803</w:t>
            </w:r>
          </w:p>
        </w:tc>
      </w:tr>
      <w:tr w14:paraId="1A09CB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799" w:type="pct"/>
            <w:vMerge w:val="continue"/>
            <w:tcBorders>
              <w:tl2br w:val="nil"/>
              <w:tr2bl w:val="nil"/>
            </w:tcBorders>
            <w:shd w:val="clear" w:color="auto" w:fill="auto"/>
            <w:noWrap/>
            <w:vAlign w:val="center"/>
          </w:tcPr>
          <w:p w14:paraId="4EB7AB13">
            <w:pPr>
              <w:jc w:val="center"/>
              <w:rPr>
                <w:rFonts w:hint="default" w:ascii="Times New Roman" w:hAnsi="Times New Roman" w:eastAsia="仿宋" w:cs="Times New Roman"/>
                <w:i w:val="0"/>
                <w:iCs w:val="0"/>
                <w:color w:val="000000"/>
                <w:sz w:val="22"/>
                <w:szCs w:val="22"/>
                <w:u w:val="none"/>
              </w:rPr>
            </w:pPr>
          </w:p>
        </w:tc>
        <w:tc>
          <w:tcPr>
            <w:tcW w:w="1721" w:type="pct"/>
            <w:vMerge w:val="restart"/>
            <w:tcBorders>
              <w:tl2br w:val="nil"/>
              <w:tr2bl w:val="nil"/>
            </w:tcBorders>
            <w:shd w:val="clear" w:color="auto" w:fill="auto"/>
            <w:noWrap/>
            <w:vAlign w:val="center"/>
          </w:tcPr>
          <w:p w14:paraId="2F4EDB89">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化工产业园</w:t>
            </w:r>
          </w:p>
        </w:tc>
        <w:tc>
          <w:tcPr>
            <w:tcW w:w="1333" w:type="pct"/>
            <w:tcBorders>
              <w:tl2br w:val="nil"/>
              <w:tr2bl w:val="nil"/>
            </w:tcBorders>
            <w:shd w:val="clear" w:color="auto" w:fill="auto"/>
            <w:noWrap/>
            <w:vAlign w:val="center"/>
          </w:tcPr>
          <w:p w14:paraId="382566C2">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城镇村道路用地</w:t>
            </w:r>
          </w:p>
        </w:tc>
        <w:tc>
          <w:tcPr>
            <w:tcW w:w="1144" w:type="pct"/>
            <w:tcBorders>
              <w:tl2br w:val="nil"/>
              <w:tr2bl w:val="nil"/>
            </w:tcBorders>
            <w:shd w:val="clear" w:color="auto" w:fill="auto"/>
            <w:noWrap/>
            <w:vAlign w:val="center"/>
          </w:tcPr>
          <w:p w14:paraId="0E211289">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7.1949</w:t>
            </w:r>
          </w:p>
        </w:tc>
      </w:tr>
      <w:tr w14:paraId="649E80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799" w:type="pct"/>
            <w:vMerge w:val="continue"/>
            <w:tcBorders>
              <w:tl2br w:val="nil"/>
              <w:tr2bl w:val="nil"/>
            </w:tcBorders>
            <w:shd w:val="clear" w:color="auto" w:fill="auto"/>
            <w:noWrap/>
            <w:vAlign w:val="center"/>
          </w:tcPr>
          <w:p w14:paraId="657881AB">
            <w:pPr>
              <w:jc w:val="center"/>
              <w:rPr>
                <w:rFonts w:hint="default" w:ascii="Times New Roman" w:hAnsi="Times New Roman" w:eastAsia="仿宋" w:cs="Times New Roman"/>
                <w:i w:val="0"/>
                <w:iCs w:val="0"/>
                <w:color w:val="000000"/>
                <w:sz w:val="22"/>
                <w:szCs w:val="22"/>
                <w:u w:val="none"/>
              </w:rPr>
            </w:pPr>
          </w:p>
        </w:tc>
        <w:tc>
          <w:tcPr>
            <w:tcW w:w="1721" w:type="pct"/>
            <w:vMerge w:val="continue"/>
            <w:tcBorders>
              <w:tl2br w:val="nil"/>
              <w:tr2bl w:val="nil"/>
            </w:tcBorders>
            <w:shd w:val="clear" w:color="auto" w:fill="auto"/>
            <w:noWrap/>
            <w:vAlign w:val="center"/>
          </w:tcPr>
          <w:p w14:paraId="475A4A5A">
            <w:pPr>
              <w:jc w:val="center"/>
              <w:rPr>
                <w:rFonts w:hint="default" w:ascii="Times New Roman" w:hAnsi="Times New Roman" w:eastAsia="仿宋" w:cs="Times New Roman"/>
                <w:i w:val="0"/>
                <w:iCs w:val="0"/>
                <w:color w:val="000000"/>
                <w:sz w:val="22"/>
                <w:szCs w:val="22"/>
                <w:u w:val="none"/>
              </w:rPr>
            </w:pPr>
          </w:p>
        </w:tc>
        <w:tc>
          <w:tcPr>
            <w:tcW w:w="1333" w:type="pct"/>
            <w:tcBorders>
              <w:tl2br w:val="nil"/>
              <w:tr2bl w:val="nil"/>
            </w:tcBorders>
            <w:shd w:val="clear" w:color="auto" w:fill="auto"/>
            <w:noWrap/>
            <w:vAlign w:val="center"/>
          </w:tcPr>
          <w:p w14:paraId="2BA72803">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公园绿地</w:t>
            </w:r>
          </w:p>
        </w:tc>
        <w:tc>
          <w:tcPr>
            <w:tcW w:w="1144" w:type="pct"/>
            <w:tcBorders>
              <w:tl2br w:val="nil"/>
              <w:tr2bl w:val="nil"/>
            </w:tcBorders>
            <w:shd w:val="clear" w:color="auto" w:fill="auto"/>
            <w:noWrap/>
            <w:vAlign w:val="center"/>
          </w:tcPr>
          <w:p w14:paraId="7F731031">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0.8278</w:t>
            </w:r>
          </w:p>
        </w:tc>
      </w:tr>
      <w:tr w14:paraId="51D7B8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799" w:type="pct"/>
            <w:vMerge w:val="continue"/>
            <w:tcBorders>
              <w:tl2br w:val="nil"/>
              <w:tr2bl w:val="nil"/>
            </w:tcBorders>
            <w:shd w:val="clear" w:color="auto" w:fill="auto"/>
            <w:noWrap/>
            <w:vAlign w:val="center"/>
          </w:tcPr>
          <w:p w14:paraId="5723E2B4">
            <w:pPr>
              <w:jc w:val="center"/>
              <w:rPr>
                <w:rFonts w:hint="default" w:ascii="Times New Roman" w:hAnsi="Times New Roman" w:eastAsia="仿宋" w:cs="Times New Roman"/>
                <w:i w:val="0"/>
                <w:iCs w:val="0"/>
                <w:color w:val="000000"/>
                <w:sz w:val="22"/>
                <w:szCs w:val="22"/>
                <w:u w:val="none"/>
              </w:rPr>
            </w:pPr>
          </w:p>
        </w:tc>
        <w:tc>
          <w:tcPr>
            <w:tcW w:w="1721" w:type="pct"/>
            <w:vMerge w:val="continue"/>
            <w:tcBorders>
              <w:tl2br w:val="nil"/>
              <w:tr2bl w:val="nil"/>
            </w:tcBorders>
            <w:shd w:val="clear" w:color="auto" w:fill="auto"/>
            <w:noWrap/>
            <w:vAlign w:val="center"/>
          </w:tcPr>
          <w:p w14:paraId="19BA61CE">
            <w:pPr>
              <w:jc w:val="center"/>
              <w:rPr>
                <w:rFonts w:hint="default" w:ascii="Times New Roman" w:hAnsi="Times New Roman" w:eastAsia="仿宋" w:cs="Times New Roman"/>
                <w:i w:val="0"/>
                <w:iCs w:val="0"/>
                <w:color w:val="000000"/>
                <w:sz w:val="22"/>
                <w:szCs w:val="22"/>
                <w:u w:val="none"/>
              </w:rPr>
            </w:pPr>
          </w:p>
        </w:tc>
        <w:tc>
          <w:tcPr>
            <w:tcW w:w="1333" w:type="pct"/>
            <w:tcBorders>
              <w:tl2br w:val="nil"/>
              <w:tr2bl w:val="nil"/>
            </w:tcBorders>
            <w:shd w:val="clear" w:color="auto" w:fill="auto"/>
            <w:noWrap/>
            <w:vAlign w:val="center"/>
          </w:tcPr>
          <w:p w14:paraId="26AC4DFB">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水域</w:t>
            </w:r>
          </w:p>
        </w:tc>
        <w:tc>
          <w:tcPr>
            <w:tcW w:w="1144" w:type="pct"/>
            <w:tcBorders>
              <w:tl2br w:val="nil"/>
              <w:tr2bl w:val="nil"/>
            </w:tcBorders>
            <w:shd w:val="clear" w:color="auto" w:fill="auto"/>
            <w:noWrap/>
            <w:vAlign w:val="center"/>
          </w:tcPr>
          <w:p w14:paraId="0EA9B7B5">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0.8245</w:t>
            </w:r>
          </w:p>
        </w:tc>
      </w:tr>
    </w:tbl>
    <w:p w14:paraId="5F49DF0A">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141" w:name="_Toc8227"/>
      <w:bookmarkStart w:id="142" w:name="_Toc16088"/>
      <w:r>
        <w:rPr>
          <w:rFonts w:hint="default" w:ascii="Times New Roman" w:hAnsi="Times New Roman" w:eastAsia="方正楷体_GB2312" w:cs="Times New Roman"/>
        </w:rPr>
        <w:t>8.2片区实现的功能</w:t>
      </w:r>
      <w:bookmarkEnd w:id="141"/>
      <w:bookmarkEnd w:id="142"/>
    </w:p>
    <w:p w14:paraId="4BADBA04">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pPr>
      <w:r>
        <w:rPr>
          <w:rFonts w:hint="default" w:ascii="Times New Roman" w:hAnsi="Times New Roman" w:eastAsia="仿宋" w:cs="Times New Roman"/>
          <w:color w:val="333333"/>
          <w:spacing w:val="8"/>
          <w:sz w:val="32"/>
          <w:szCs w:val="32"/>
          <w:lang w:eastAsia="zh-CN"/>
        </w:rPr>
        <w:t>本次成片开发区建设拟</w:t>
      </w:r>
      <w:r>
        <w:rPr>
          <w:rFonts w:hint="eastAsia" w:ascii="Times New Roman" w:hAnsi="Times New Roman" w:eastAsia="仿宋" w:cs="Times New Roman"/>
          <w:color w:val="333333"/>
          <w:spacing w:val="8"/>
          <w:sz w:val="32"/>
          <w:szCs w:val="32"/>
          <w:lang w:val="en-US" w:eastAsia="zh-CN"/>
        </w:rPr>
        <w:t>5个区片，主要用地为工业用地、公园绿地、城镇村道路用地、交通场站用地体育用地。</w:t>
      </w:r>
    </w:p>
    <w:p w14:paraId="27A1EA09">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143" w:name="_Toc1449"/>
      <w:bookmarkStart w:id="144" w:name="_Toc20235"/>
      <w:r>
        <w:rPr>
          <w:rFonts w:hint="default" w:ascii="Times New Roman" w:hAnsi="Times New Roman" w:eastAsia="方正楷体_GB2312" w:cs="Times New Roman"/>
        </w:rPr>
        <w:t>8.3公益性用地比例</w:t>
      </w:r>
      <w:bookmarkEnd w:id="143"/>
      <w:bookmarkEnd w:id="144"/>
    </w:p>
    <w:p w14:paraId="67B2960C">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本次成片开发范围内公益性用地包括公园与绿地、广场用地、</w:t>
      </w:r>
      <w:r>
        <w:rPr>
          <w:rFonts w:hint="eastAsia" w:ascii="Times New Roman" w:hAnsi="Times New Roman" w:eastAsia="仿宋" w:cs="Times New Roman"/>
          <w:color w:val="333333"/>
          <w:spacing w:val="8"/>
          <w:sz w:val="32"/>
          <w:szCs w:val="32"/>
          <w:lang w:val="en-US" w:eastAsia="zh-CN"/>
        </w:rPr>
        <w:t>城镇村道路用地、交通场站用地、</w:t>
      </w:r>
      <w:r>
        <w:rPr>
          <w:rFonts w:hint="default" w:ascii="Times New Roman" w:hAnsi="Times New Roman" w:eastAsia="仿宋" w:cs="Times New Roman"/>
          <w:color w:val="333333"/>
          <w:spacing w:val="8"/>
          <w:sz w:val="32"/>
          <w:szCs w:val="32"/>
          <w:lang w:eastAsia="zh-CN"/>
        </w:rPr>
        <w:t>用地面积为</w:t>
      </w:r>
      <w:r>
        <w:rPr>
          <w:rFonts w:hint="eastAsia" w:ascii="Times New Roman" w:hAnsi="Times New Roman" w:eastAsia="仿宋" w:cs="Times New Roman"/>
          <w:color w:val="333333"/>
          <w:spacing w:val="8"/>
          <w:sz w:val="32"/>
          <w:szCs w:val="32"/>
          <w:lang w:val="en-US" w:eastAsia="zh-CN"/>
        </w:rPr>
        <w:t>30.9362</w:t>
      </w:r>
      <w:r>
        <w:rPr>
          <w:rFonts w:hint="default" w:ascii="Times New Roman" w:hAnsi="Times New Roman" w:eastAsia="仿宋" w:cs="Times New Roman"/>
          <w:color w:val="333333"/>
          <w:spacing w:val="8"/>
          <w:sz w:val="32"/>
          <w:szCs w:val="32"/>
          <w:lang w:eastAsia="zh-CN"/>
        </w:rPr>
        <w:t>公顷，公益性用地占用地总面积</w:t>
      </w:r>
      <w:r>
        <w:rPr>
          <w:rFonts w:hint="eastAsia" w:ascii="Times New Roman" w:hAnsi="Times New Roman" w:eastAsia="仿宋" w:cs="Times New Roman"/>
          <w:color w:val="333333"/>
          <w:spacing w:val="8"/>
          <w:sz w:val="32"/>
          <w:szCs w:val="32"/>
          <w:lang w:val="en-US" w:eastAsia="zh-CN"/>
        </w:rPr>
        <w:t>41</w:t>
      </w:r>
      <w:r>
        <w:rPr>
          <w:rFonts w:hint="default" w:ascii="Times New Roman" w:hAnsi="Times New Roman" w:eastAsia="仿宋" w:cs="Times New Roman"/>
          <w:color w:val="333333"/>
          <w:spacing w:val="8"/>
          <w:sz w:val="32"/>
          <w:szCs w:val="32"/>
          <w:lang w:val="en-US" w:eastAsia="zh-CN"/>
        </w:rPr>
        <w:t>%</w:t>
      </w:r>
      <w:r>
        <w:rPr>
          <w:rFonts w:hint="default" w:ascii="Times New Roman" w:hAnsi="Times New Roman" w:eastAsia="仿宋" w:cs="Times New Roman"/>
          <w:color w:val="333333"/>
          <w:spacing w:val="8"/>
          <w:sz w:val="32"/>
          <w:szCs w:val="32"/>
          <w:lang w:eastAsia="zh-CN"/>
        </w:rPr>
        <w:t>；符合自然资源部《土地征收成片开发标准》（自然资规〔2023〕7号）公益性用地不低于40%的要求。</w:t>
      </w:r>
    </w:p>
    <w:p w14:paraId="3D1D8B99">
      <w:pPr>
        <w:pStyle w:val="6"/>
        <w:jc w:val="both"/>
        <w:rPr>
          <w:rFonts w:hint="default" w:ascii="Times New Roman" w:hAnsi="Times New Roman" w:eastAsia="黑体" w:cs="Times New Roman"/>
          <w:b/>
          <w:bCs/>
          <w:color w:val="333333"/>
          <w:spacing w:val="8"/>
          <w:szCs w:val="21"/>
        </w:rPr>
      </w:pPr>
    </w:p>
    <w:p w14:paraId="12B9A859">
      <w:pPr>
        <w:pStyle w:val="2"/>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黑体" w:cs="Times New Roman"/>
          <w:sz w:val="32"/>
          <w:szCs w:val="32"/>
        </w:rPr>
      </w:pPr>
      <w:bookmarkStart w:id="145" w:name="_Toc21566"/>
      <w:bookmarkStart w:id="146" w:name="_Toc21137"/>
      <w:r>
        <w:rPr>
          <w:rFonts w:hint="default" w:ascii="Times New Roman" w:hAnsi="Times New Roman" w:eastAsia="黑体" w:cs="Times New Roman"/>
          <w:sz w:val="32"/>
          <w:szCs w:val="32"/>
        </w:rPr>
        <w:t>9.开发区利用及节约集约用地分析</w:t>
      </w:r>
      <w:bookmarkEnd w:id="145"/>
      <w:bookmarkEnd w:id="146"/>
    </w:p>
    <w:p w14:paraId="5322D1FF">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lang w:val="en-US" w:eastAsia="zh-CN"/>
        </w:rPr>
      </w:pPr>
      <w:bookmarkStart w:id="147" w:name="_Toc668"/>
      <w:bookmarkStart w:id="148" w:name="_Toc14639"/>
      <w:r>
        <w:rPr>
          <w:rFonts w:hint="default" w:ascii="Times New Roman" w:hAnsi="Times New Roman" w:eastAsia="方正楷体_GB2312" w:cs="Times New Roman"/>
          <w:lang w:val="en-US" w:eastAsia="zh-CN"/>
        </w:rPr>
        <w:t>9.1开发区土地利用</w:t>
      </w:r>
      <w:bookmarkEnd w:id="147"/>
      <w:bookmarkEnd w:id="148"/>
    </w:p>
    <w:p w14:paraId="0A495350">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在黑龙江省自然资源厅办公室《关于黑龙江省2022年度开发区土地集约利用监测统计情况的函》（黑自然资办函〔2023〕23号）文件中，</w:t>
      </w:r>
      <w:r>
        <w:rPr>
          <w:rFonts w:hint="eastAsia" w:ascii="Times New Roman" w:hAnsi="Times New Roman" w:eastAsia="仿宋" w:cs="Times New Roman"/>
          <w:color w:val="333333"/>
          <w:spacing w:val="8"/>
          <w:sz w:val="32"/>
          <w:szCs w:val="32"/>
          <w:lang w:eastAsia="zh-CN"/>
        </w:rPr>
        <w:t>黑龙江鸡东经济开发区</w:t>
      </w:r>
      <w:r>
        <w:rPr>
          <w:rFonts w:hint="default" w:ascii="Times New Roman" w:hAnsi="Times New Roman" w:eastAsia="仿宋" w:cs="Times New Roman"/>
          <w:color w:val="333333"/>
          <w:spacing w:val="8"/>
          <w:sz w:val="32"/>
          <w:szCs w:val="32"/>
          <w:lang w:eastAsia="zh-CN"/>
        </w:rPr>
        <w:t>土地集约利用状况评价综合分值排名第</w:t>
      </w:r>
      <w:r>
        <w:rPr>
          <w:rFonts w:hint="eastAsia" w:ascii="Times New Roman" w:hAnsi="Times New Roman" w:eastAsia="仿宋" w:cs="Times New Roman"/>
          <w:color w:val="333333"/>
          <w:spacing w:val="8"/>
          <w:sz w:val="32"/>
          <w:szCs w:val="32"/>
          <w:lang w:val="en-US" w:eastAsia="zh-CN"/>
        </w:rPr>
        <w:t>1</w:t>
      </w:r>
      <w:r>
        <w:rPr>
          <w:rFonts w:hint="default" w:ascii="Times New Roman" w:hAnsi="Times New Roman" w:eastAsia="仿宋" w:cs="Times New Roman"/>
          <w:color w:val="333333"/>
          <w:spacing w:val="8"/>
          <w:sz w:val="32"/>
          <w:szCs w:val="32"/>
          <w:lang w:eastAsia="zh-CN"/>
        </w:rPr>
        <w:t>名。不属于各类开发区最新年度土地集约利用状况评价综合分值小于70且排名后10位的情况，符合开展成片开发方案编制条件。</w:t>
      </w:r>
      <w:r>
        <w:rPr>
          <w:rFonts w:hint="eastAsia" w:ascii="Times New Roman" w:hAnsi="Times New Roman" w:eastAsia="仿宋" w:cs="Times New Roman"/>
          <w:color w:val="333333"/>
          <w:spacing w:val="8"/>
          <w:sz w:val="32"/>
          <w:szCs w:val="32"/>
          <w:lang w:val="en-US" w:eastAsia="zh-CN"/>
        </w:rPr>
        <w:t>本次成片开发范围内有珍宝岛药业有限公司、现有工业用地、鸡东县振达农机制造有限公司三个工业用地项目，其中珍宝岛药业有限公司、现有工业用地位于</w:t>
      </w:r>
      <w:r>
        <w:rPr>
          <w:rFonts w:hint="eastAsia" w:ascii="Times New Roman" w:hAnsi="Times New Roman" w:eastAsia="仿宋" w:cs="Times New Roman"/>
          <w:color w:val="333333"/>
          <w:spacing w:val="8"/>
          <w:sz w:val="32"/>
          <w:szCs w:val="32"/>
          <w:lang w:eastAsia="zh-CN"/>
        </w:rPr>
        <w:t>黑龙江鸡东经济开发区</w:t>
      </w:r>
      <w:r>
        <w:rPr>
          <w:rFonts w:hint="eastAsia" w:ascii="Times New Roman" w:hAnsi="Times New Roman" w:eastAsia="仿宋" w:cs="Times New Roman"/>
          <w:color w:val="333333"/>
          <w:spacing w:val="8"/>
          <w:sz w:val="32"/>
          <w:szCs w:val="32"/>
          <w:lang w:val="en-US" w:eastAsia="zh-CN"/>
        </w:rPr>
        <w:t>内，鸡东县振达农机制造有限公司位于</w:t>
      </w:r>
      <w:r>
        <w:rPr>
          <w:rFonts w:hint="eastAsia" w:ascii="Times New Roman" w:hAnsi="Times New Roman" w:eastAsia="仿宋" w:cs="Times New Roman"/>
          <w:color w:val="333333"/>
          <w:spacing w:val="8"/>
          <w:sz w:val="32"/>
          <w:szCs w:val="32"/>
          <w:lang w:eastAsia="zh-CN"/>
        </w:rPr>
        <w:t>黑龙江鸡东经济开发区</w:t>
      </w:r>
      <w:r>
        <w:rPr>
          <w:rFonts w:hint="eastAsia" w:ascii="Times New Roman" w:hAnsi="Times New Roman" w:eastAsia="仿宋" w:cs="Times New Roman"/>
          <w:color w:val="333333"/>
          <w:spacing w:val="8"/>
          <w:sz w:val="32"/>
          <w:szCs w:val="32"/>
          <w:lang w:val="en-US" w:eastAsia="zh-CN"/>
        </w:rPr>
        <w:t>外。</w:t>
      </w:r>
    </w:p>
    <w:p w14:paraId="3841DF90">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lang w:val="en-US" w:eastAsia="zh-CN"/>
        </w:rPr>
      </w:pPr>
      <w:bookmarkStart w:id="149" w:name="_Toc10992"/>
      <w:bookmarkStart w:id="150" w:name="_Toc16550"/>
      <w:bookmarkStart w:id="151" w:name="_Toc23074"/>
      <w:r>
        <w:rPr>
          <w:rFonts w:hint="default" w:ascii="Times New Roman" w:hAnsi="Times New Roman" w:eastAsia="方正楷体_GB2312" w:cs="Times New Roman"/>
          <w:lang w:val="en-US" w:eastAsia="zh-CN"/>
        </w:rPr>
        <w:t>9.2</w:t>
      </w:r>
      <w:r>
        <w:rPr>
          <w:rFonts w:hint="default" w:ascii="Times New Roman" w:hAnsi="Times New Roman" w:eastAsia="方正楷体_GB2312" w:cs="Times New Roman"/>
        </w:rPr>
        <w:t>节约集约用地分析</w:t>
      </w:r>
      <w:bookmarkEnd w:id="149"/>
      <w:bookmarkEnd w:id="150"/>
      <w:bookmarkEnd w:id="151"/>
    </w:p>
    <w:p w14:paraId="414B394B">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pPr>
      <w:r>
        <w:rPr>
          <w:rFonts w:hint="default" w:ascii="Times New Roman" w:hAnsi="Times New Roman" w:eastAsia="仿宋" w:cs="Times New Roman"/>
          <w:color w:val="333333"/>
          <w:spacing w:val="8"/>
          <w:sz w:val="32"/>
          <w:szCs w:val="32"/>
          <w:lang w:val="en-US" w:eastAsia="zh-CN"/>
        </w:rPr>
        <w:t>根据《国务院关于促进节约集约用地的通知》（国发[2008]3号）的要求，鼓励开发区提高土地利用效率，研究建立土地利用状况、用地效益和</w:t>
      </w:r>
      <w:r>
        <w:rPr>
          <w:rFonts w:hint="eastAsia" w:ascii="Times New Roman" w:hAnsi="Times New Roman" w:eastAsia="仿宋" w:cs="Times New Roman"/>
          <w:color w:val="333333"/>
          <w:spacing w:val="8"/>
          <w:sz w:val="32"/>
          <w:szCs w:val="32"/>
          <w:lang w:val="en-US" w:eastAsia="zh-CN"/>
        </w:rPr>
        <w:t>鸡东县</w:t>
      </w:r>
      <w:r>
        <w:rPr>
          <w:rFonts w:hint="default" w:ascii="Times New Roman" w:hAnsi="Times New Roman" w:eastAsia="仿宋" w:cs="Times New Roman"/>
          <w:color w:val="333333"/>
          <w:spacing w:val="8"/>
          <w:sz w:val="32"/>
          <w:szCs w:val="32"/>
          <w:lang w:val="en-US" w:eastAsia="zh-CN"/>
        </w:rPr>
        <w:t>2025年土地征收成片开发方案土地管理绩效等评价指标体系。根据国土资源部24号文件《关于发布和实施&lt;工业项目建设用地控制指标&gt;的通知》中给出的分行业容积率标准，项目区用地容积率不低于1；《中共黑龙江省委 黑龙江省人民政府关于促进开发区改革和创新发展的意见》（黑发〔2018〕18号）文件要求，投资强度不低于3000元/平方米；根据《工业项目建设用地控制指标》文件要求，建筑系数不低于30%。</w:t>
      </w:r>
      <w:r>
        <w:rPr>
          <w:rFonts w:hint="eastAsia" w:ascii="Times New Roman" w:hAnsi="Times New Roman" w:eastAsia="仿宋" w:cs="Times New Roman"/>
          <w:color w:val="333333"/>
          <w:spacing w:val="8"/>
          <w:sz w:val="32"/>
          <w:szCs w:val="32"/>
          <w:lang w:val="en-US" w:eastAsia="zh-CN"/>
        </w:rPr>
        <w:t>鸡东县</w:t>
      </w:r>
      <w:r>
        <w:rPr>
          <w:rFonts w:hint="default" w:ascii="Times New Roman" w:hAnsi="Times New Roman" w:eastAsia="仿宋" w:cs="Times New Roman"/>
          <w:color w:val="333333"/>
          <w:spacing w:val="8"/>
          <w:sz w:val="32"/>
          <w:szCs w:val="32"/>
          <w:lang w:val="en-US" w:eastAsia="zh-CN"/>
        </w:rPr>
        <w:t>2025年土地征收成片开发方案将严格按照文件要求进行实施。</w:t>
      </w:r>
    </w:p>
    <w:p w14:paraId="25E79E46">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成片开发方案严格执行国家、省级关于土地管理的政策，坚持合理利用和节约用地，尽量少占和不占用耕地的原则。根据工程地质条件、节约利用土地资源、减少占用公共建筑用地，统筹考虑土地节约、环境保护、城市发展等因素。在项目选址过程中严格贯彻“十分珍惜、合理利用土地和切实保护耕地”的基本国策，成片开发区域做到最大化可能的节约集约用地，并采取以下几方面节约集约用地措施。</w:t>
      </w:r>
    </w:p>
    <w:p w14:paraId="4235D90B">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1.在土地规划中考虑产业布局的合理化和科学化，对用地使用更要树立按照“用地集约、规模集中、产业集聚”的原则，把用地分配与产业布局和产业政策有机结合，限制高耗地低效益项目，优先保障重点、优质产业。朝着节约集约用地、科学规划用地的方向转变，通过改变土地利用方式来解决社会经济发展中凸显的土地供需矛盾，使产业结构得到优化升级，引导社会经济步入持续健康快速发展的轨道。</w:t>
      </w:r>
    </w:p>
    <w:p w14:paraId="60764D67">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2.开展节约集约用地的具体措施为进一步加强土地管理，落实节约集约用地制度，保障经济社会可持续发展（1）采取散发宣传资料等多种形式宣传节约集约用地的目的和意义，增强广大干群节约集约用地意识。（2）严格执行土地出让政策，保障项目建设用地和项目供地，节约集约用地项目优先供地;（3）加大了对批而未用、闲置土地和低效利用土地的处置力度，提高了土地利用率。（4）加强跟踪管理，促进节约集约用地。</w:t>
      </w:r>
    </w:p>
    <w:p w14:paraId="43E9A722">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3.严格按照国土空间总体规划，统筹协调城镇、工业、农村集中居住点等基础设施建设规划，按照合理布局、经济可行、规划控制的原则，避免盲目投资、过度超前和低水平重复建设而浪费土地资源。</w:t>
      </w:r>
    </w:p>
    <w:p w14:paraId="2789AF28">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4.合理开发利用土地除了要对土地进行合理规划和采取相应节约用地的措施，在实际工作中，还要合理开发利用土地。充分发挥政府宏观调控作用，就是要制定好、规划好，按照国民经济社会发展的需要来安排用地，通过规划和计划，控制建设用地的规模、布局，可以通过规划和政府的宏观调控的手段来提高土地的节约和提高土地的节约利用。重视发挥土地储备机构的作用，引入市场机制，优先盘活存量土地，特别是空闲、低效率利用的土地。</w:t>
      </w:r>
    </w:p>
    <w:p w14:paraId="20D52D8B">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5.倡导节约集约用地概念，建设节约型社会在节约集约土地的过程中，处理要合理开发利用土地，重要的是要倡导节约集约用地概念，政府和相关单位可以通过大力宣传，阐述以人为本，全面协调可持续的科学发展观，科学发展观应该说是指导我们经济社会发展的一个总的战略的指导思想，也是一个统领我们经济社会发展的全局的战略决策。</w:t>
      </w:r>
    </w:p>
    <w:p w14:paraId="170765EC">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6.要深刻阐述资源、能源、环境、生态与我国全面建设小康社会的现代化建设相互联系、相互依赖、相互作用的道理，引导人们把珍惜资源、节约能源、保护环境、保持生态平衡作为一种价值追求和发展的理念，并转换为自觉的意识和自觉的行动;还可以大力普及、热爱自然、珍惜资源节约能源保护环境、科学技术知识和具体的技巧，使人们不仅树立观念意识，而且掌握相关的知识，相关的技能，培养相关的素质，真正学会怎么样才能做到节约的文明行为。</w:t>
      </w:r>
    </w:p>
    <w:p w14:paraId="03341632">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7.还要大力推广相关的法律法规规章制度，要通过国家的强制力和企业的约束力，加大对资源、能源开发利用的规范力度，加大对环境污染的惩治力度，也要加大对于人们日常生活节约行为的规范力度，形成一个法律监督、行政监督、群众监督、舆论监督和自我监督的完整体系。</w:t>
      </w:r>
    </w:p>
    <w:p w14:paraId="003DF4A2">
      <w:pPr>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 w:cs="Times New Roman"/>
          <w:color w:val="333333"/>
          <w:spacing w:val="8"/>
          <w:sz w:val="30"/>
          <w:szCs w:val="30"/>
          <w:lang w:eastAsia="zh-CN"/>
        </w:rPr>
      </w:pPr>
    </w:p>
    <w:p w14:paraId="53A148C9">
      <w:pPr>
        <w:pageBreakBefore w:val="0"/>
        <w:widowControl w:val="0"/>
        <w:kinsoku/>
        <w:wordWrap/>
        <w:overflowPunct/>
        <w:topLinePunct w:val="0"/>
        <w:autoSpaceDE/>
        <w:autoSpaceDN/>
        <w:bidi w:val="0"/>
        <w:adjustRightInd/>
        <w:snapToGrid/>
        <w:spacing w:line="560" w:lineRule="exact"/>
        <w:ind w:firstLine="420" w:firstLineChars="200"/>
        <w:textAlignment w:val="auto"/>
        <w:rPr>
          <w:rFonts w:hint="default" w:ascii="Times New Roman" w:hAnsi="Times New Roman" w:cs="Times New Roman"/>
        </w:rPr>
      </w:pPr>
      <w:r>
        <w:rPr>
          <w:rFonts w:hint="default" w:ascii="Times New Roman" w:hAnsi="Times New Roman" w:cs="Times New Roman"/>
        </w:rPr>
        <w:br w:type="page"/>
      </w:r>
    </w:p>
    <w:p w14:paraId="7DD53DA9">
      <w:pPr>
        <w:pStyle w:val="2"/>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黑体" w:cs="Times New Roman"/>
          <w:sz w:val="32"/>
          <w:szCs w:val="32"/>
        </w:rPr>
      </w:pPr>
      <w:bookmarkStart w:id="152" w:name="_Toc9401"/>
      <w:bookmarkStart w:id="153" w:name="_Toc14692"/>
      <w:r>
        <w:rPr>
          <w:rFonts w:hint="default" w:ascii="Times New Roman" w:hAnsi="Times New Roman" w:eastAsia="黑体" w:cs="Times New Roman"/>
          <w:sz w:val="32"/>
          <w:szCs w:val="32"/>
        </w:rPr>
        <w:t>10.落实占补平衡措施</w:t>
      </w:r>
      <w:bookmarkEnd w:id="152"/>
      <w:bookmarkEnd w:id="153"/>
    </w:p>
    <w:p w14:paraId="753D7C40">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lang w:val="en-US" w:eastAsia="zh-CN"/>
        </w:rPr>
      </w:pPr>
      <w:bookmarkStart w:id="154" w:name="_Toc17374"/>
      <w:bookmarkStart w:id="155" w:name="_Toc21135"/>
      <w:r>
        <w:rPr>
          <w:rFonts w:hint="default" w:ascii="Times New Roman" w:hAnsi="Times New Roman" w:eastAsia="方正楷体_GB2312" w:cs="Times New Roman"/>
          <w:lang w:val="en-US" w:eastAsia="zh-CN"/>
        </w:rPr>
        <w:t>10.1</w:t>
      </w:r>
      <w:r>
        <w:rPr>
          <w:rFonts w:hint="default" w:ascii="Times New Roman" w:hAnsi="Times New Roman" w:eastAsia="方正楷体_GB2312" w:cs="Times New Roman"/>
          <w:lang w:eastAsia="zh-CN"/>
        </w:rPr>
        <w:t>落实耕地占补平衡措施</w:t>
      </w:r>
      <w:bookmarkEnd w:id="154"/>
      <w:bookmarkEnd w:id="155"/>
    </w:p>
    <w:p w14:paraId="09A5DB5A">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项目不可避免的要占用耕地，但为了认真贯彻落实“十分珍惜和合理利用每一寸土地，确定保护耕地”的国策，将采取一些措施保护耕地。由于黑龙江省自然资源厅《黑龙江省耕地开垦费征收和使用管理办法》的通知（黑国土资规〔2018〕1号）文件已过期，省未下发新文件，暂时以此文件标准征收，依据黑国土资规〔2018〕1号文件</w:t>
      </w:r>
      <w:r>
        <w:rPr>
          <w:rFonts w:hint="eastAsia" w:ascii="Times New Roman" w:hAnsi="Times New Roman" w:eastAsia="仿宋" w:cs="Times New Roman"/>
          <w:color w:val="333333"/>
          <w:spacing w:val="8"/>
          <w:sz w:val="32"/>
          <w:szCs w:val="32"/>
          <w:lang w:val="en-US" w:eastAsia="zh-CN"/>
        </w:rPr>
        <w:t>要求</w:t>
      </w:r>
      <w:r>
        <w:rPr>
          <w:rFonts w:hint="default" w:ascii="Times New Roman" w:hAnsi="Times New Roman" w:eastAsia="仿宋" w:cs="Times New Roman"/>
          <w:color w:val="333333"/>
          <w:spacing w:val="8"/>
          <w:sz w:val="32"/>
          <w:szCs w:val="32"/>
          <w:lang w:eastAsia="zh-CN"/>
        </w:rPr>
        <w:t>，凡从事非农业建设的单位或个人，经批准占用耕地的，应当开垦与所占用耕地的数量、质量相当的耕地。没有条件开垦或者开垦的耕地不符合要求的，应向占用耕地所在地市(地)县(市)</w:t>
      </w:r>
      <w:r>
        <w:rPr>
          <w:rFonts w:hint="eastAsia" w:ascii="Times New Roman" w:hAnsi="Times New Roman" w:eastAsia="仿宋" w:cs="Times New Roman"/>
          <w:color w:val="333333"/>
          <w:spacing w:val="8"/>
          <w:sz w:val="32"/>
          <w:szCs w:val="32"/>
          <w:lang w:val="en-US" w:eastAsia="zh-CN"/>
        </w:rPr>
        <w:t>自然</w:t>
      </w:r>
      <w:r>
        <w:rPr>
          <w:rFonts w:hint="default" w:ascii="Times New Roman" w:hAnsi="Times New Roman" w:eastAsia="仿宋" w:cs="Times New Roman"/>
          <w:color w:val="333333"/>
          <w:spacing w:val="8"/>
          <w:sz w:val="32"/>
          <w:szCs w:val="32"/>
          <w:lang w:eastAsia="zh-CN"/>
        </w:rPr>
        <w:t>资源行政主管部门缴纳耕地开垦费。具体落实措施为以下几点：</w:t>
      </w:r>
    </w:p>
    <w:p w14:paraId="0B8E97DB">
      <w:pPr>
        <w:pStyle w:val="37"/>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156" w:name="_Toc21124"/>
      <w:bookmarkStart w:id="157" w:name="_Toc21629"/>
      <w:bookmarkStart w:id="158" w:name="_Toc10856"/>
      <w:r>
        <w:rPr>
          <w:rFonts w:hint="default" w:ascii="Times New Roman" w:hAnsi="Times New Roman" w:eastAsia="方正仿宋_GB18030" w:cs="Times New Roman"/>
          <w:sz w:val="32"/>
          <w:szCs w:val="32"/>
          <w:lang w:val="en-US" w:eastAsia="zh-CN"/>
        </w:rPr>
        <w:t>10.1.1依法落实和执行耕地占补平衡制度</w:t>
      </w:r>
      <w:bookmarkEnd w:id="156"/>
      <w:bookmarkEnd w:id="157"/>
      <w:bookmarkEnd w:id="158"/>
    </w:p>
    <w:p w14:paraId="24A153D0">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建设项目按照省里相关规定，落实耕地占补平衡的法定义务，由占用耕地的单位负责开垦与所占用耕地的数量和质量相当的耕地；没有条件开垦或者开垦的耕地不符合要求的，按照省、自治区、直辖市的规定缴纳耕地开垦费，专款用于开垦新的耕地。</w:t>
      </w:r>
    </w:p>
    <w:p w14:paraId="4B03034D">
      <w:pPr>
        <w:pStyle w:val="37"/>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159" w:name="_Toc14270"/>
      <w:bookmarkStart w:id="160" w:name="_Toc9730"/>
      <w:r>
        <w:rPr>
          <w:rFonts w:hint="default" w:ascii="Times New Roman" w:hAnsi="Times New Roman" w:eastAsia="方正仿宋_GB18030" w:cs="Times New Roman"/>
          <w:sz w:val="32"/>
          <w:szCs w:val="32"/>
          <w:lang w:val="en-US" w:eastAsia="zh-CN"/>
        </w:rPr>
        <w:t>10.1.2严格落实耕地占补平衡任务</w:t>
      </w:r>
      <w:bookmarkEnd w:id="159"/>
      <w:bookmarkEnd w:id="160"/>
    </w:p>
    <w:p w14:paraId="3EE20C3A">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根据《中华人民共和国土地管理法》、《国务院关于深化改革严格土地管理的规定》（国发〔2004〕28）对耕地开垦费的缴纳和使用有专门的要求。为了贯彻执行保护耕地的基本国策，成片开发方案所占耕地</w:t>
      </w:r>
      <w:r>
        <w:rPr>
          <w:rFonts w:hint="default" w:ascii="Times New Roman" w:hAnsi="Times New Roman" w:eastAsia="仿宋" w:cs="Times New Roman"/>
          <w:color w:val="333333"/>
          <w:spacing w:val="8"/>
          <w:sz w:val="32"/>
          <w:szCs w:val="32"/>
          <w:lang w:val="en-US" w:eastAsia="zh-CN"/>
        </w:rPr>
        <w:t>总面积为</w:t>
      </w:r>
      <w:r>
        <w:rPr>
          <w:rFonts w:hint="eastAsia" w:ascii="Times New Roman" w:hAnsi="Times New Roman" w:eastAsia="仿宋" w:cs="Times New Roman"/>
          <w:color w:val="333333"/>
          <w:spacing w:val="8"/>
          <w:sz w:val="32"/>
          <w:szCs w:val="32"/>
          <w:lang w:val="en-US" w:eastAsia="zh-CN"/>
        </w:rPr>
        <w:t>51.6710</w:t>
      </w:r>
      <w:r>
        <w:rPr>
          <w:rFonts w:hint="default" w:ascii="Times New Roman" w:hAnsi="Times New Roman" w:eastAsia="仿宋" w:cs="Times New Roman"/>
          <w:color w:val="333333"/>
          <w:spacing w:val="8"/>
          <w:sz w:val="32"/>
          <w:szCs w:val="32"/>
          <w:lang w:val="en-US" w:eastAsia="zh-CN"/>
        </w:rPr>
        <w:t>公顷（其中水田</w:t>
      </w:r>
      <w:r>
        <w:rPr>
          <w:rFonts w:hint="eastAsia" w:ascii="Times New Roman" w:hAnsi="Times New Roman" w:eastAsia="仿宋" w:cs="Times New Roman"/>
          <w:color w:val="333333"/>
          <w:spacing w:val="8"/>
          <w:sz w:val="32"/>
          <w:szCs w:val="32"/>
          <w:lang w:val="en-US" w:eastAsia="zh-CN"/>
        </w:rPr>
        <w:t>10.2140</w:t>
      </w:r>
      <w:r>
        <w:rPr>
          <w:rFonts w:hint="default" w:ascii="Times New Roman" w:hAnsi="Times New Roman" w:eastAsia="仿宋" w:cs="Times New Roman"/>
          <w:color w:val="333333"/>
          <w:spacing w:val="8"/>
          <w:sz w:val="32"/>
          <w:szCs w:val="32"/>
          <w:lang w:val="en-US" w:eastAsia="zh-CN"/>
        </w:rPr>
        <w:t>公顷，旱地</w:t>
      </w:r>
      <w:r>
        <w:rPr>
          <w:rFonts w:hint="eastAsia" w:ascii="Times New Roman" w:hAnsi="Times New Roman" w:eastAsia="仿宋" w:cs="Times New Roman"/>
          <w:color w:val="333333"/>
          <w:spacing w:val="8"/>
          <w:sz w:val="32"/>
          <w:szCs w:val="32"/>
          <w:lang w:val="en-US" w:eastAsia="zh-CN"/>
        </w:rPr>
        <w:t>41.4570</w:t>
      </w:r>
      <w:r>
        <w:rPr>
          <w:rFonts w:hint="default" w:ascii="Times New Roman" w:hAnsi="Times New Roman" w:eastAsia="仿宋" w:cs="Times New Roman"/>
          <w:color w:val="333333"/>
          <w:spacing w:val="8"/>
          <w:sz w:val="32"/>
          <w:szCs w:val="32"/>
          <w:lang w:val="en-US" w:eastAsia="zh-CN"/>
        </w:rPr>
        <w:t>公顷），占总</w:t>
      </w:r>
      <w:r>
        <w:rPr>
          <w:rFonts w:hint="eastAsia" w:ascii="Times New Roman" w:hAnsi="Times New Roman" w:eastAsia="仿宋" w:cs="Times New Roman"/>
          <w:color w:val="333333"/>
          <w:spacing w:val="8"/>
          <w:sz w:val="32"/>
          <w:szCs w:val="32"/>
          <w:lang w:val="en-US" w:eastAsia="zh-CN"/>
        </w:rPr>
        <w:t>用地面积68.47</w:t>
      </w:r>
      <w:r>
        <w:rPr>
          <w:rFonts w:hint="default" w:ascii="Times New Roman" w:hAnsi="Times New Roman" w:eastAsia="仿宋" w:cs="Times New Roman"/>
          <w:color w:val="333333"/>
          <w:spacing w:val="8"/>
          <w:sz w:val="32"/>
          <w:szCs w:val="32"/>
          <w:lang w:val="en-US" w:eastAsia="zh-CN"/>
        </w:rPr>
        <w:t>%</w:t>
      </w:r>
      <w:r>
        <w:rPr>
          <w:rFonts w:hint="default" w:ascii="Times New Roman" w:hAnsi="Times New Roman" w:eastAsia="仿宋" w:cs="Times New Roman"/>
          <w:color w:val="333333"/>
          <w:spacing w:val="8"/>
          <w:sz w:val="32"/>
          <w:szCs w:val="32"/>
          <w:lang w:eastAsia="zh-CN"/>
        </w:rPr>
        <w:t>，耕地等别为1</w:t>
      </w:r>
      <w:r>
        <w:rPr>
          <w:rFonts w:hint="default" w:ascii="Times New Roman" w:hAnsi="Times New Roman" w:eastAsia="仿宋" w:cs="Times New Roman"/>
          <w:color w:val="333333"/>
          <w:spacing w:val="8"/>
          <w:sz w:val="32"/>
          <w:szCs w:val="32"/>
          <w:lang w:val="en-US" w:eastAsia="zh-CN"/>
        </w:rPr>
        <w:t>2</w:t>
      </w:r>
      <w:r>
        <w:rPr>
          <w:rFonts w:hint="default" w:ascii="Times New Roman" w:hAnsi="Times New Roman" w:eastAsia="仿宋" w:cs="Times New Roman"/>
          <w:color w:val="333333"/>
          <w:spacing w:val="8"/>
          <w:sz w:val="32"/>
          <w:szCs w:val="32"/>
          <w:lang w:eastAsia="zh-CN"/>
        </w:rPr>
        <w:t>等，耕地占补平衡管理采取“占一补一，占优补优、占水田补水田、占黑土补黑土”的方式。承诺耕地在</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耕地储备库中完成补充，面积为</w:t>
      </w:r>
      <w:r>
        <w:rPr>
          <w:rFonts w:hint="eastAsia" w:ascii="Times New Roman" w:hAnsi="Times New Roman" w:eastAsia="仿宋" w:cs="Times New Roman"/>
          <w:color w:val="333333"/>
          <w:spacing w:val="8"/>
          <w:sz w:val="32"/>
          <w:szCs w:val="32"/>
          <w:lang w:val="en-US" w:eastAsia="zh-CN"/>
        </w:rPr>
        <w:t>51.6710</w:t>
      </w:r>
      <w:r>
        <w:rPr>
          <w:rFonts w:hint="default" w:ascii="Times New Roman" w:hAnsi="Times New Roman" w:eastAsia="仿宋" w:cs="Times New Roman"/>
          <w:color w:val="333333"/>
          <w:spacing w:val="8"/>
          <w:sz w:val="32"/>
          <w:szCs w:val="32"/>
          <w:lang w:eastAsia="zh-CN"/>
        </w:rPr>
        <w:t>公顷，补充耕地等级</w:t>
      </w:r>
      <w:r>
        <w:rPr>
          <w:rFonts w:hint="default" w:ascii="Times New Roman" w:hAnsi="Times New Roman" w:eastAsia="仿宋" w:cs="Times New Roman"/>
          <w:color w:val="333333"/>
          <w:spacing w:val="8"/>
          <w:sz w:val="32"/>
          <w:szCs w:val="32"/>
          <w:lang w:val="en-US" w:eastAsia="zh-CN"/>
        </w:rPr>
        <w:t>不低于12等，</w:t>
      </w:r>
      <w:r>
        <w:rPr>
          <w:rFonts w:hint="default" w:ascii="Times New Roman" w:hAnsi="Times New Roman" w:eastAsia="仿宋" w:cs="Times New Roman"/>
          <w:color w:val="333333"/>
          <w:spacing w:val="8"/>
          <w:sz w:val="32"/>
          <w:szCs w:val="32"/>
          <w:lang w:eastAsia="zh-CN"/>
        </w:rPr>
        <w:t>承诺项目耕地占补平衡，耕地总量不减少，质量不降低，承诺完成耕地补充任务。</w:t>
      </w:r>
    </w:p>
    <w:p w14:paraId="44BBD846">
      <w:pPr>
        <w:pStyle w:val="37"/>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161" w:name="_Toc8761"/>
      <w:bookmarkStart w:id="162" w:name="_Toc5180"/>
      <w:r>
        <w:rPr>
          <w:rFonts w:hint="default" w:ascii="Times New Roman" w:hAnsi="Times New Roman" w:eastAsia="方正仿宋_GB18030" w:cs="Times New Roman"/>
          <w:sz w:val="32"/>
          <w:szCs w:val="32"/>
          <w:lang w:val="en-US" w:eastAsia="zh-CN"/>
        </w:rPr>
        <w:t>10.1.3足额缴纳耕地开垦费</w:t>
      </w:r>
      <w:bookmarkEnd w:id="161"/>
      <w:bookmarkEnd w:id="162"/>
    </w:p>
    <w:p w14:paraId="4B8D6D00">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由于黑龙江省自然资源厅《黑龙江省耕地开垦费征收和使用管理办法》的通知（黑国土资规〔2018〕1号）文件已过期，省未下发新文件，暂时以此文件标准征收，依据黑国土资规〔2018〕1号文件开垦费征收标准，</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耕地旱地标准</w:t>
      </w:r>
      <w:r>
        <w:rPr>
          <w:rFonts w:hint="default" w:ascii="Times New Roman" w:hAnsi="Times New Roman" w:eastAsia="仿宋" w:cs="Times New Roman"/>
          <w:color w:val="333333"/>
          <w:spacing w:val="8"/>
          <w:sz w:val="32"/>
          <w:szCs w:val="32"/>
          <w:lang w:val="en-US" w:eastAsia="zh-CN"/>
        </w:rPr>
        <w:t>17元/平方米，水田22元/平方米，</w:t>
      </w:r>
      <w:r>
        <w:rPr>
          <w:rFonts w:hint="default" w:ascii="Times New Roman" w:hAnsi="Times New Roman" w:eastAsia="仿宋" w:cs="Times New Roman"/>
          <w:color w:val="333333"/>
          <w:spacing w:val="8"/>
          <w:sz w:val="32"/>
          <w:szCs w:val="32"/>
          <w:lang w:eastAsia="zh-CN"/>
        </w:rPr>
        <w:t>若省下发新耕地开垦费征收标准文件，按照新标准足额缴纳耕地开垦费；项目建设单位足额将补充耕地所需资金列入工程建设投资内容，做到专款专用并承诺按照国家和省里相关标准缴纳足额耕地开垦费。</w:t>
      </w:r>
    </w:p>
    <w:p w14:paraId="06E4A4C3">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lang w:eastAsia="zh-CN"/>
        </w:rPr>
      </w:pPr>
      <w:bookmarkStart w:id="163" w:name="_Toc14130"/>
      <w:bookmarkStart w:id="164" w:name="_Toc23343"/>
      <w:r>
        <w:rPr>
          <w:rFonts w:hint="default" w:ascii="Times New Roman" w:hAnsi="Times New Roman" w:eastAsia="方正楷体_GB2312" w:cs="Times New Roman"/>
          <w:lang w:val="en-US" w:eastAsia="zh-CN"/>
        </w:rPr>
        <w:t>10.2</w:t>
      </w:r>
      <w:r>
        <w:rPr>
          <w:rFonts w:hint="default" w:ascii="Times New Roman" w:hAnsi="Times New Roman" w:eastAsia="方正楷体_GB2312" w:cs="Times New Roman"/>
          <w:lang w:eastAsia="zh-CN"/>
        </w:rPr>
        <w:t>落实林地占补平衡措施</w:t>
      </w:r>
      <w:bookmarkEnd w:id="163"/>
      <w:bookmarkEnd w:id="164"/>
    </w:p>
    <w:p w14:paraId="6CEDD513">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根据森林法和《黑龙江省林地保护利用规划（2010-2020年）》的有关规定，黑龙江林业和草原局下发了《关于建设项目占用林地实行占补平衡有关问题的通知》（黑林草规[2020]9号，以下简称《通知》），为了保证全省林地保有量规模总体稳定，有林地面积和森林覆被率不因建设项目占用林地而减少或降低。</w:t>
      </w:r>
    </w:p>
    <w:p w14:paraId="39DBA531">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实施建设项目使用林地“占一补一”，坚守发展和生态两条底线，正确处理生态环境保护和社会经济发展关系，实现发展和保护双赢的重要措施，通过实施林地“占一补一”，调整森林资源空间布局，不断提高森林质量和森林覆盖率，对推动项目落地、实现用保结合，以用促增，提高土地使用效率，促使各类建设项目主动保护林地，依法使用林地。</w:t>
      </w:r>
    </w:p>
    <w:p w14:paraId="73055F1D">
      <w:pPr>
        <w:pStyle w:val="2"/>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黑体" w:cs="Times New Roman"/>
          <w:sz w:val="32"/>
          <w:szCs w:val="32"/>
          <w:lang w:eastAsia="zh-CN"/>
        </w:rPr>
      </w:pPr>
      <w:bookmarkStart w:id="165" w:name="_Toc19877"/>
      <w:bookmarkStart w:id="166" w:name="_Toc18665"/>
      <w:bookmarkStart w:id="167" w:name="_Toc24880"/>
      <w:bookmarkStart w:id="168" w:name="_Toc5979"/>
      <w:bookmarkStart w:id="169" w:name="_Toc11838"/>
      <w:r>
        <w:rPr>
          <w:rFonts w:hint="default" w:ascii="Times New Roman" w:hAnsi="Times New Roman" w:eastAsia="黑体" w:cs="Times New Roman"/>
          <w:sz w:val="32"/>
          <w:szCs w:val="32"/>
        </w:rPr>
        <w:t>1</w:t>
      </w:r>
      <w:r>
        <w:rPr>
          <w:rFonts w:hint="default" w:ascii="Times New Roman" w:hAnsi="Times New Roman" w:eastAsia="黑体" w:cs="Times New Roman"/>
          <w:sz w:val="32"/>
          <w:szCs w:val="32"/>
          <w:lang w:val="en-US" w:eastAsia="zh-CN"/>
        </w:rPr>
        <w:t>1</w:t>
      </w:r>
      <w:r>
        <w:rPr>
          <w:rFonts w:hint="default" w:ascii="Times New Roman" w:hAnsi="Times New Roman" w:eastAsia="黑体" w:cs="Times New Roman"/>
          <w:sz w:val="32"/>
          <w:szCs w:val="32"/>
        </w:rPr>
        <w:t>.</w:t>
      </w:r>
      <w:bookmarkEnd w:id="165"/>
      <w:bookmarkEnd w:id="166"/>
      <w:bookmarkEnd w:id="167"/>
      <w:r>
        <w:rPr>
          <w:rFonts w:hint="default" w:ascii="Times New Roman" w:hAnsi="Times New Roman" w:eastAsia="黑体" w:cs="Times New Roman"/>
          <w:sz w:val="32"/>
          <w:szCs w:val="32"/>
          <w:lang w:eastAsia="zh-CN"/>
        </w:rPr>
        <w:t>黑土地保护专章</w:t>
      </w:r>
      <w:bookmarkEnd w:id="168"/>
      <w:bookmarkEnd w:id="169"/>
    </w:p>
    <w:p w14:paraId="71ABBA3F">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170" w:name="_Toc4089"/>
      <w:bookmarkStart w:id="171" w:name="_Toc27224"/>
      <w:bookmarkStart w:id="172" w:name="_Toc20695"/>
      <w:bookmarkStart w:id="173" w:name="_Toc17867"/>
      <w:bookmarkStart w:id="174" w:name="_Toc9679"/>
      <w:r>
        <w:rPr>
          <w:rFonts w:hint="default" w:ascii="Times New Roman" w:hAnsi="Times New Roman" w:eastAsia="方正楷体_GB2312" w:cs="Times New Roman"/>
          <w:lang w:val="en-US" w:eastAsia="zh-CN"/>
        </w:rPr>
        <w:t>11.1占用黑土耕地的必要性和合理性</w:t>
      </w:r>
      <w:bookmarkEnd w:id="170"/>
      <w:bookmarkEnd w:id="171"/>
      <w:bookmarkEnd w:id="172"/>
      <w:bookmarkEnd w:id="173"/>
      <w:bookmarkEnd w:id="174"/>
    </w:p>
    <w:p w14:paraId="120BA7A8">
      <w:pPr>
        <w:pStyle w:val="37"/>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175" w:name="_Toc29608"/>
      <w:bookmarkStart w:id="176" w:name="_Toc2323"/>
      <w:r>
        <w:rPr>
          <w:rFonts w:hint="default" w:ascii="Times New Roman" w:hAnsi="Times New Roman" w:eastAsia="方正仿宋_GB18030" w:cs="Times New Roman"/>
          <w:sz w:val="32"/>
          <w:szCs w:val="32"/>
          <w:lang w:val="en-US" w:eastAsia="zh-CN"/>
        </w:rPr>
        <w:t>11.1.1占用黑土耕地的必要性</w:t>
      </w:r>
      <w:bookmarkEnd w:id="175"/>
      <w:bookmarkEnd w:id="176"/>
    </w:p>
    <w:p w14:paraId="6FD08756">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pPr>
      <w:r>
        <w:rPr>
          <w:rFonts w:hint="default" w:ascii="Times New Roman" w:hAnsi="Times New Roman" w:eastAsia="仿宋" w:cs="Times New Roman"/>
          <w:color w:val="333333"/>
          <w:spacing w:val="8"/>
          <w:sz w:val="32"/>
          <w:szCs w:val="32"/>
          <w:lang w:val="en-US" w:eastAsia="zh-CN"/>
        </w:rPr>
        <w:t>本次成片开发项目建设有利于</w:t>
      </w:r>
      <w:r>
        <w:rPr>
          <w:rFonts w:hint="eastAsia" w:ascii="Times New Roman" w:hAnsi="Times New Roman" w:eastAsia="仿宋" w:cs="Times New Roman"/>
          <w:color w:val="333333"/>
          <w:spacing w:val="8"/>
          <w:sz w:val="32"/>
          <w:szCs w:val="32"/>
          <w:lang w:val="en-US" w:eastAsia="zh-CN"/>
        </w:rPr>
        <w:t>鸡东县</w:t>
      </w:r>
      <w:r>
        <w:rPr>
          <w:rFonts w:hint="default" w:ascii="Times New Roman" w:hAnsi="Times New Roman" w:eastAsia="仿宋" w:cs="Times New Roman"/>
          <w:color w:val="333333"/>
          <w:spacing w:val="8"/>
          <w:sz w:val="32"/>
          <w:szCs w:val="32"/>
          <w:lang w:val="en-US" w:eastAsia="zh-CN"/>
        </w:rPr>
        <w:t>经济发展，符合国家战略发展，该项目对我市具有重要的战略意义，本次成片开发项目在选址时本着尽量不占、少占耕地的原则，但由于项目所处区域为平原区，区域内以农田为主，在充分利用既有厂房、道路等用地，保证技术要求和避让基本农田的前提下仍不可避免占用了耕地。</w:t>
      </w:r>
    </w:p>
    <w:p w14:paraId="6B02E9DA">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pPr>
      <w:r>
        <w:rPr>
          <w:rFonts w:hint="default" w:ascii="Times New Roman" w:hAnsi="Times New Roman" w:eastAsia="仿宋" w:cs="Times New Roman"/>
          <w:color w:val="333333"/>
          <w:spacing w:val="8"/>
          <w:sz w:val="32"/>
          <w:szCs w:val="32"/>
          <w:lang w:val="en-US" w:eastAsia="zh-CN"/>
        </w:rPr>
        <w:t>有利于提升企业知名度能力，培育产业发展新优势；有利于加速我市产业转型升级，壮大经济增长新动能；有利于加快制造强国、科技强国、网络强国、交通强国、数字中国、智慧社会建设，增强新时代国家综合实力；有利于保障生命安全，提高交通效率，促进节能减排，增进人民福祉。对区域经济发展的具有重要作用。</w:t>
      </w:r>
    </w:p>
    <w:p w14:paraId="6CC8189A">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pPr>
      <w:r>
        <w:rPr>
          <w:rFonts w:hint="default" w:ascii="Times New Roman" w:hAnsi="Times New Roman" w:eastAsia="仿宋" w:cs="Times New Roman"/>
          <w:color w:val="333333"/>
          <w:spacing w:val="8"/>
          <w:sz w:val="32"/>
          <w:szCs w:val="32"/>
          <w:lang w:val="en-US" w:eastAsia="zh-CN"/>
        </w:rPr>
        <w:t>总之，本次成片开发项目建设对</w:t>
      </w:r>
      <w:r>
        <w:rPr>
          <w:rFonts w:hint="eastAsia" w:ascii="Times New Roman" w:hAnsi="Times New Roman" w:eastAsia="仿宋" w:cs="Times New Roman"/>
          <w:color w:val="333333"/>
          <w:spacing w:val="8"/>
          <w:sz w:val="32"/>
          <w:szCs w:val="32"/>
          <w:lang w:val="en-US" w:eastAsia="zh-CN"/>
        </w:rPr>
        <w:t>鸡东县</w:t>
      </w:r>
      <w:r>
        <w:rPr>
          <w:rFonts w:hint="default" w:ascii="Times New Roman" w:hAnsi="Times New Roman" w:eastAsia="仿宋" w:cs="Times New Roman"/>
          <w:color w:val="333333"/>
          <w:spacing w:val="8"/>
          <w:sz w:val="32"/>
          <w:szCs w:val="32"/>
          <w:lang w:val="en-US" w:eastAsia="zh-CN"/>
        </w:rPr>
        <w:t>城市经济发展需求，实现</w:t>
      </w:r>
      <w:r>
        <w:rPr>
          <w:rFonts w:hint="eastAsia" w:ascii="Times New Roman" w:hAnsi="Times New Roman" w:eastAsia="仿宋" w:cs="Times New Roman"/>
          <w:color w:val="333333"/>
          <w:spacing w:val="8"/>
          <w:sz w:val="32"/>
          <w:szCs w:val="32"/>
          <w:lang w:val="en-US" w:eastAsia="zh-CN"/>
        </w:rPr>
        <w:t>鸡东县</w:t>
      </w:r>
      <w:r>
        <w:rPr>
          <w:rFonts w:hint="default" w:ascii="Times New Roman" w:hAnsi="Times New Roman" w:eastAsia="仿宋" w:cs="Times New Roman"/>
          <w:color w:val="333333"/>
          <w:spacing w:val="8"/>
          <w:sz w:val="32"/>
          <w:szCs w:val="32"/>
          <w:lang w:val="en-US" w:eastAsia="zh-CN"/>
        </w:rPr>
        <w:t>国民经济可持续发展，提高和改善人民群众生活质量是十分迫切和必要的。</w:t>
      </w:r>
    </w:p>
    <w:p w14:paraId="48C61B4A">
      <w:pPr>
        <w:pStyle w:val="37"/>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177" w:name="_Toc22650"/>
      <w:bookmarkStart w:id="178" w:name="_Toc8473"/>
      <w:r>
        <w:rPr>
          <w:rFonts w:hint="default" w:ascii="Times New Roman" w:hAnsi="Times New Roman" w:eastAsia="方正仿宋_GB18030" w:cs="Times New Roman"/>
          <w:sz w:val="32"/>
          <w:szCs w:val="32"/>
          <w:lang w:val="en-US" w:eastAsia="zh-CN"/>
        </w:rPr>
        <w:t>11.1.2占用黑土耕地的合理性</w:t>
      </w:r>
      <w:bookmarkEnd w:id="177"/>
      <w:bookmarkEnd w:id="178"/>
    </w:p>
    <w:p w14:paraId="5033E0CB">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pPr>
      <w:r>
        <w:rPr>
          <w:rFonts w:hint="default" w:ascii="Times New Roman" w:hAnsi="Times New Roman" w:eastAsia="仿宋" w:cs="Times New Roman"/>
          <w:color w:val="333333"/>
          <w:spacing w:val="8"/>
          <w:sz w:val="32"/>
          <w:szCs w:val="32"/>
          <w:lang w:val="en-US" w:eastAsia="zh-CN"/>
        </w:rPr>
        <w:t>在设计中，严格执行国家、省部关于土地管理的政策，坚持合理利用和节约用地，尽量少占和不占耕地，尤其是少占永久基本农田的原则。根据速度目标、运输组织要求、工程地质条件、节约利用土地资源、减少占用耕地特别是永久基本农田，统筹考虑土地节约、环境保护、城市发展等因素，进行多方案比选。在项目的设计过程中严格贯彻了“十分珍惜、合理利用土地和切实保护耕地”的基本国策。</w:t>
      </w:r>
    </w:p>
    <w:p w14:paraId="27F73158">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pPr>
      <w:r>
        <w:rPr>
          <w:rFonts w:hint="default" w:ascii="Times New Roman" w:hAnsi="Times New Roman" w:eastAsia="仿宋" w:cs="Times New Roman"/>
          <w:color w:val="333333"/>
          <w:spacing w:val="8"/>
          <w:sz w:val="32"/>
          <w:szCs w:val="32"/>
          <w:lang w:val="en-US" w:eastAsia="zh-CN"/>
        </w:rPr>
        <w:t>本项目符合</w:t>
      </w:r>
      <w:r>
        <w:rPr>
          <w:rFonts w:hint="eastAsia" w:ascii="Times New Roman" w:hAnsi="Times New Roman" w:eastAsia="仿宋" w:cs="Times New Roman"/>
          <w:color w:val="333333"/>
          <w:spacing w:val="8"/>
          <w:sz w:val="32"/>
          <w:szCs w:val="32"/>
          <w:lang w:val="en-US" w:eastAsia="zh-CN"/>
        </w:rPr>
        <w:t>鸡东县</w:t>
      </w:r>
      <w:r>
        <w:rPr>
          <w:rFonts w:hint="default" w:ascii="Times New Roman" w:hAnsi="Times New Roman" w:eastAsia="仿宋" w:cs="Times New Roman"/>
          <w:color w:val="333333"/>
          <w:spacing w:val="8"/>
          <w:sz w:val="32"/>
          <w:szCs w:val="32"/>
          <w:lang w:val="en-US" w:eastAsia="zh-CN"/>
        </w:rPr>
        <w:t>对土地利用的有关规定，有利于提高</w:t>
      </w:r>
      <w:r>
        <w:rPr>
          <w:rFonts w:hint="eastAsia" w:ascii="Times New Roman" w:hAnsi="Times New Roman" w:eastAsia="仿宋" w:cs="Times New Roman"/>
          <w:color w:val="333333"/>
          <w:spacing w:val="8"/>
          <w:sz w:val="32"/>
          <w:szCs w:val="32"/>
          <w:lang w:val="en-US" w:eastAsia="zh-CN"/>
        </w:rPr>
        <w:t>鸡东县</w:t>
      </w:r>
      <w:r>
        <w:rPr>
          <w:rFonts w:hint="default" w:ascii="Times New Roman" w:hAnsi="Times New Roman" w:eastAsia="仿宋" w:cs="Times New Roman"/>
          <w:color w:val="333333"/>
          <w:spacing w:val="8"/>
          <w:sz w:val="32"/>
          <w:szCs w:val="32"/>
          <w:lang w:val="en-US" w:eastAsia="zh-CN"/>
        </w:rPr>
        <w:t>经济发展，符合科学发展观的要求，符合当地经济发展规划和相关政策的要求，故认为该项目占用黑土耕地合理。</w:t>
      </w:r>
    </w:p>
    <w:p w14:paraId="36F09620">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lang w:val="en-US"/>
        </w:rPr>
      </w:pPr>
      <w:bookmarkStart w:id="179" w:name="_Toc2694"/>
      <w:bookmarkStart w:id="180" w:name="_Toc25084"/>
      <w:bookmarkStart w:id="181" w:name="_Toc3090"/>
      <w:bookmarkStart w:id="182" w:name="_Toc31338"/>
      <w:bookmarkStart w:id="183" w:name="_Toc19889"/>
      <w:r>
        <w:rPr>
          <w:rFonts w:hint="default" w:ascii="Times New Roman" w:hAnsi="Times New Roman" w:eastAsia="方正楷体_GB2312" w:cs="Times New Roman"/>
          <w:lang w:val="en-US" w:eastAsia="zh-CN"/>
        </w:rPr>
        <w:t>11.2“占黑土补黑土”与表土剥离</w:t>
      </w:r>
      <w:bookmarkEnd w:id="179"/>
      <w:bookmarkEnd w:id="180"/>
      <w:bookmarkEnd w:id="181"/>
      <w:bookmarkEnd w:id="182"/>
      <w:bookmarkEnd w:id="183"/>
    </w:p>
    <w:p w14:paraId="6D32F226">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val="en-US" w:eastAsia="zh-CN"/>
        </w:rPr>
        <w:t>在保障国家粮食安全中地位极其重要。必须采取有效措施保护好黑土耕地，为保障国家粮食安全提供有力支撑。</w:t>
      </w:r>
      <w:r>
        <w:rPr>
          <w:rFonts w:hint="default" w:ascii="Times New Roman" w:hAnsi="Times New Roman" w:eastAsia="仿宋" w:cs="Times New Roman"/>
          <w:color w:val="333333"/>
          <w:spacing w:val="8"/>
          <w:sz w:val="32"/>
          <w:szCs w:val="32"/>
          <w:lang w:eastAsia="zh-CN"/>
        </w:rPr>
        <w:t>“十分珍惜、合理利用土地和切实保护耕地”是我国的基本国策，为保护耕地土壤资源，科学规划、合理利用非农建设占用耕地的耕作层土壤资源，根据黑龙江省市场监督管理局发布《建设占用耕地耕作层土壤剥离利用技术规范》（DB 23/T 2913-2021），开展耕作层土壤剥离，把黑土地保护落到实处。</w:t>
      </w:r>
    </w:p>
    <w:p w14:paraId="6107BD2E">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pPr>
      <w:r>
        <w:rPr>
          <w:rFonts w:hint="default" w:ascii="Times New Roman" w:hAnsi="Times New Roman" w:eastAsia="仿宋" w:cs="Times New Roman"/>
          <w:color w:val="333333"/>
          <w:spacing w:val="8"/>
          <w:sz w:val="32"/>
          <w:szCs w:val="32"/>
          <w:lang w:val="en-US" w:eastAsia="zh-CN"/>
        </w:rPr>
        <w:t>根据《自然资源部办公厅关于进一步加强黑土耕地保护的通知》（自然资办函〔2022〕1531号）和《自然资源部等7部门关于加强用地审批前期工作积极推进基础设施项目建设的通知》（自然资发〔2022〕130号）的要求，在可行性研究阶段，对占用的必要性和合理性等情况进行严格论证，纳入耕地踏勘论证报告；申请农用地转用时，说明落实“占黑土补黑土”、耕作层土壤剥离再利用有关情况，按规定制定耕作层土壤剥离再利用方案，做到应剥离尽剥离，剥离后妥善储存，及时合理再利用。</w:t>
      </w:r>
    </w:p>
    <w:p w14:paraId="36F95217">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pPr>
      <w:r>
        <w:rPr>
          <w:rFonts w:hint="default" w:ascii="Times New Roman" w:hAnsi="Times New Roman" w:eastAsia="仿宋" w:cs="Times New Roman"/>
          <w:color w:val="333333"/>
          <w:spacing w:val="8"/>
          <w:sz w:val="32"/>
          <w:szCs w:val="32"/>
          <w:lang w:val="en-US" w:eastAsia="zh-CN"/>
        </w:rPr>
        <w:t>本项目占用黑土耕地的部分，实行“占黑土补黑土”，在本区域落实补充耕地。充分利用建设占用剥离的黑土耕地耕作层土壤，保证补充耕地土壤类型应为七类黑土地土壤。</w:t>
      </w:r>
    </w:p>
    <w:p w14:paraId="48F5AE62">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bookmarkStart w:id="184" w:name="_Toc26744"/>
      <w:bookmarkStart w:id="185" w:name="_Toc22982"/>
      <w:bookmarkStart w:id="186" w:name="_Toc5262"/>
      <w:bookmarkStart w:id="187" w:name="_Toc29703"/>
      <w:bookmarkStart w:id="188" w:name="_Toc110082804"/>
      <w:r>
        <w:rPr>
          <w:rFonts w:hint="default" w:ascii="Times New Roman" w:hAnsi="Times New Roman" w:eastAsia="仿宋" w:cs="Times New Roman"/>
          <w:color w:val="333333"/>
          <w:spacing w:val="8"/>
          <w:sz w:val="32"/>
          <w:szCs w:val="32"/>
          <w:lang w:eastAsia="zh-CN"/>
        </w:rPr>
        <w:t>在确保建设项目如期落地的同时，为保护好珍贵的黑土地资源，实现优质耕地资源的永续利用，坚持“在保护中开发、在开发中保护”的原则，实施建设占用耕地表土剥离再利用。在项目用地转用征收阶段，承诺制定表土剥离计划，编制《表土剥离方案》，</w:t>
      </w:r>
      <w:r>
        <w:rPr>
          <w:rFonts w:hint="default" w:ascii="Times New Roman" w:hAnsi="Times New Roman" w:eastAsia="仿宋" w:cs="Times New Roman"/>
          <w:color w:val="333333"/>
          <w:spacing w:val="8"/>
          <w:sz w:val="32"/>
          <w:szCs w:val="32"/>
          <w:lang w:val="en-US" w:eastAsia="zh-CN"/>
        </w:rPr>
        <w:t>按照要求</w:t>
      </w:r>
      <w:r>
        <w:rPr>
          <w:rFonts w:hint="default" w:ascii="Times New Roman" w:hAnsi="Times New Roman" w:eastAsia="仿宋" w:cs="Times New Roman"/>
          <w:color w:val="333333"/>
          <w:spacing w:val="8"/>
          <w:sz w:val="32"/>
          <w:szCs w:val="32"/>
          <w:lang w:eastAsia="zh-CN"/>
        </w:rPr>
        <w:t>实施表土剥离。</w:t>
      </w:r>
    </w:p>
    <w:p w14:paraId="3F26EAA1">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lang w:val="en-US" w:eastAsia="zh-CN"/>
        </w:rPr>
      </w:pPr>
      <w:bookmarkStart w:id="189" w:name="_Toc27832"/>
      <w:bookmarkStart w:id="190" w:name="_Toc5367"/>
      <w:r>
        <w:rPr>
          <w:rFonts w:hint="default" w:ascii="Times New Roman" w:hAnsi="Times New Roman" w:eastAsia="方正楷体_GB2312" w:cs="Times New Roman"/>
          <w:lang w:val="en-US" w:eastAsia="zh-CN"/>
        </w:rPr>
        <w:t>11.3剥离土壤利用</w:t>
      </w:r>
      <w:bookmarkEnd w:id="184"/>
      <w:bookmarkEnd w:id="185"/>
      <w:bookmarkEnd w:id="189"/>
      <w:bookmarkEnd w:id="190"/>
    </w:p>
    <w:p w14:paraId="578F66BF">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pPr>
      <w:r>
        <w:rPr>
          <w:rFonts w:hint="default" w:ascii="Times New Roman" w:hAnsi="Times New Roman" w:eastAsia="仿宋" w:cs="Times New Roman"/>
          <w:color w:val="333333"/>
          <w:spacing w:val="8"/>
          <w:sz w:val="32"/>
          <w:szCs w:val="32"/>
          <w:lang w:val="en-US" w:eastAsia="zh-CN"/>
        </w:rPr>
        <w:t>本项目剥离土壤剥离后先存储，然后各需用黑土部门或单位向政府提出申请，在存储场办手续领取黑土，优先用于高标准农田、土壤改良、生态修复等。</w:t>
      </w:r>
    </w:p>
    <w:p w14:paraId="33A019AC">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val="en-US" w:eastAsia="zh-CN"/>
        </w:rPr>
        <w:t>剥离土壤计划在两年内用完。扣除耕作层土壤在剥离、运输储存和利用过程中的损耗，剥离土壤利用率预计可达到90%以上。</w:t>
      </w:r>
    </w:p>
    <w:p w14:paraId="1E3E8555">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lang w:val="en-US" w:eastAsia="zh-CN"/>
        </w:rPr>
      </w:pPr>
      <w:bookmarkStart w:id="191" w:name="_Toc20457"/>
      <w:bookmarkStart w:id="192" w:name="_Toc21974"/>
      <w:r>
        <w:rPr>
          <w:rFonts w:hint="default" w:ascii="Times New Roman" w:hAnsi="Times New Roman" w:eastAsia="方正楷体_GB2312" w:cs="Times New Roman"/>
          <w:lang w:val="en-US" w:eastAsia="zh-CN"/>
        </w:rPr>
        <w:t>11.4储存区土壤管护和监测</w:t>
      </w:r>
      <w:bookmarkEnd w:id="186"/>
      <w:bookmarkEnd w:id="187"/>
      <w:bookmarkEnd w:id="188"/>
      <w:bookmarkEnd w:id="191"/>
      <w:bookmarkEnd w:id="192"/>
    </w:p>
    <w:p w14:paraId="64862634">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pPr>
      <w:r>
        <w:rPr>
          <w:rFonts w:hint="default" w:ascii="Times New Roman" w:hAnsi="Times New Roman" w:eastAsia="仿宋" w:cs="Times New Roman"/>
          <w:color w:val="333333"/>
          <w:spacing w:val="8"/>
          <w:sz w:val="32"/>
          <w:szCs w:val="32"/>
          <w:lang w:val="en-US" w:eastAsia="zh-CN"/>
        </w:rPr>
        <w:t>（1）土壤管保单位应制定管理制度和监测方案、明确设立监测点，采用先进科技信息手段对储存区土壤进行监测。</w:t>
      </w:r>
    </w:p>
    <w:p w14:paraId="08364CA8">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pPr>
      <w:r>
        <w:rPr>
          <w:rFonts w:hint="default" w:ascii="Times New Roman" w:hAnsi="Times New Roman" w:eastAsia="仿宋" w:cs="Times New Roman"/>
          <w:color w:val="333333"/>
          <w:spacing w:val="8"/>
          <w:sz w:val="32"/>
          <w:szCs w:val="32"/>
          <w:lang w:val="en-US" w:eastAsia="zh-CN"/>
        </w:rPr>
        <w:t>（2）建立储存台账和巡视记录，派专人对储存区域进行管护和监控，确保土壤堆放安全，防止水土流失；</w:t>
      </w:r>
    </w:p>
    <w:p w14:paraId="42A74490">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pPr>
      <w:r>
        <w:rPr>
          <w:rFonts w:hint="default" w:ascii="Times New Roman" w:hAnsi="Times New Roman" w:eastAsia="仿宋" w:cs="Times New Roman"/>
          <w:color w:val="333333"/>
          <w:spacing w:val="8"/>
          <w:sz w:val="32"/>
          <w:szCs w:val="32"/>
          <w:lang w:val="en-US" w:eastAsia="zh-CN"/>
        </w:rPr>
        <w:t>（3）进入储存区土壤，应登记其来源、土壤理化性状等信息，按要求分类存放、保管。土壤进出储存区应填写台账；</w:t>
      </w:r>
    </w:p>
    <w:p w14:paraId="0987AEB9">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pPr>
      <w:r>
        <w:rPr>
          <w:rFonts w:hint="default" w:ascii="Times New Roman" w:hAnsi="Times New Roman" w:eastAsia="仿宋" w:cs="Times New Roman"/>
          <w:color w:val="333333"/>
          <w:spacing w:val="8"/>
          <w:sz w:val="32"/>
          <w:szCs w:val="32"/>
          <w:lang w:val="en-US" w:eastAsia="zh-CN"/>
        </w:rPr>
        <w:t>（4）储存区至少每月巡视1次，重点检查土壤堆放的拦挡设施、土壤储存安全情况。雨期应当增加巡查频率，发现雨水渗入时，应及时围堵、排水；</w:t>
      </w:r>
    </w:p>
    <w:p w14:paraId="1A3B0022">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pPr>
      <w:r>
        <w:rPr>
          <w:rFonts w:hint="default" w:ascii="Times New Roman" w:hAnsi="Times New Roman" w:eastAsia="仿宋" w:cs="Times New Roman"/>
          <w:color w:val="333333"/>
          <w:spacing w:val="8"/>
          <w:sz w:val="32"/>
          <w:szCs w:val="32"/>
          <w:lang w:val="en-US" w:eastAsia="zh-CN"/>
        </w:rPr>
        <w:t>（5）严禁车辆直接在土堆上通行，禁止在储存区及附近焚烧产生有毒有害烟尘气体的物质，防止土壤受到污染；</w:t>
      </w:r>
    </w:p>
    <w:p w14:paraId="3D158C37">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pPr>
      <w:r>
        <w:rPr>
          <w:rFonts w:hint="default" w:ascii="Times New Roman" w:hAnsi="Times New Roman" w:eastAsia="仿宋" w:cs="Times New Roman"/>
          <w:color w:val="333333"/>
          <w:spacing w:val="8"/>
          <w:sz w:val="32"/>
          <w:szCs w:val="32"/>
          <w:lang w:val="en-US" w:eastAsia="zh-CN"/>
        </w:rPr>
        <w:t>（6）表土堆存期间，为保证土质以及堆放区设施完整，设计进行40次表土监测，监测次数为3个月一次，每次按照200元计算监测费用，同时要结合监测结果对表土堆放场适时增加管护措施，以保证表土不流失、质量不降低，管护费用按照2000元/公顷*年计算，管护时间为2年。具体监测指标包括表土堆的坡度、土壤养分、土壤容重、土壤质地、pH值、有机质含量、全氮含量、土壤侵蚀程度、表土草的生长和覆盖情况、防护网破损程度等。</w:t>
      </w:r>
    </w:p>
    <w:p w14:paraId="77544D18">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pPr>
      <w:r>
        <w:rPr>
          <w:rFonts w:hint="default" w:ascii="Times New Roman" w:hAnsi="Times New Roman" w:eastAsia="仿宋" w:cs="Times New Roman"/>
          <w:color w:val="333333"/>
          <w:spacing w:val="8"/>
          <w:sz w:val="32"/>
          <w:szCs w:val="32"/>
          <w:lang w:val="en-US" w:eastAsia="zh-CN"/>
        </w:rPr>
        <w:t>（7）相关主管部门每月至少对土壤储存区进行1次管护考核，主要考查管护合同和管护标准执行情况。根据管护工作完成情况和管护效果作出评价，对存在问题提出整改要求；</w:t>
      </w:r>
    </w:p>
    <w:p w14:paraId="5E37A216">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pPr>
      <w:r>
        <w:rPr>
          <w:rFonts w:hint="default" w:ascii="Times New Roman" w:hAnsi="Times New Roman" w:eastAsia="仿宋" w:cs="Times New Roman"/>
          <w:color w:val="333333"/>
          <w:spacing w:val="8"/>
          <w:sz w:val="32"/>
          <w:szCs w:val="32"/>
          <w:lang w:val="en-US" w:eastAsia="zh-CN"/>
        </w:rPr>
        <w:t>（8）管护单位应在考核前向主管部门提交管护工作报告，内容包括储存区概况、管护工作组织、管护任务及相关技术指标完成情况，以及土壤监测情况与结果、管护资料整理情况等；</w:t>
      </w:r>
    </w:p>
    <w:p w14:paraId="0452A6C5">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pPr>
      <w:r>
        <w:rPr>
          <w:rFonts w:hint="default" w:ascii="Times New Roman" w:hAnsi="Times New Roman" w:eastAsia="仿宋" w:cs="Times New Roman"/>
          <w:color w:val="333333"/>
          <w:spacing w:val="8"/>
          <w:sz w:val="32"/>
          <w:szCs w:val="32"/>
          <w:lang w:val="en-US" w:eastAsia="zh-CN"/>
        </w:rPr>
        <w:t>（9）管护单位应在储存区土壤清运完毕后，按规定将储存区台账、巡视记录、监测报告、管护工作总结、历次考核材料等移交当地区级主管部门存档。</w:t>
      </w:r>
    </w:p>
    <w:p w14:paraId="5B7B45FC">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lang w:val="en-US" w:eastAsia="zh-CN"/>
        </w:rPr>
      </w:pPr>
      <w:bookmarkStart w:id="193" w:name="_Toc17650"/>
      <w:bookmarkStart w:id="194" w:name="_Toc9339"/>
      <w:r>
        <w:rPr>
          <w:rFonts w:hint="default" w:ascii="Times New Roman" w:hAnsi="Times New Roman" w:eastAsia="方正楷体_GB2312" w:cs="Times New Roman"/>
          <w:lang w:val="en-US" w:eastAsia="zh-CN"/>
        </w:rPr>
        <w:t>11.5剥离土壤保护措施</w:t>
      </w:r>
      <w:bookmarkEnd w:id="193"/>
      <w:bookmarkEnd w:id="194"/>
    </w:p>
    <w:p w14:paraId="16D835B5">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根据《黑龙江省黑土地保护利用条例》（2021年12月23日黑龙江省第十三届人民代表大会常务委员会第二十九次会议通过 2023年12月24日黑龙江省第十四届人民代表大会常务委员会第九次会议修订）对剥离黑土保护，合理利用。</w:t>
      </w:r>
    </w:p>
    <w:p w14:paraId="26BA2D50">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val="en-US" w:eastAsia="zh-CN"/>
        </w:rPr>
        <w:t>旱地表土剥离过程中肥力降低，所以在表土回覆后要对旱地进行施肥，施肥过程将伴随着翻耕过程进行，以提高土壤中的有机质含量，增加土壤微生物含量，恢复生产能力。</w:t>
      </w:r>
    </w:p>
    <w:p w14:paraId="5268EA11">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br w:type="page"/>
      </w:r>
    </w:p>
    <w:p w14:paraId="59CFDD4E">
      <w:pPr>
        <w:pStyle w:val="2"/>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黑体" w:cs="Times New Roman"/>
          <w:sz w:val="32"/>
          <w:szCs w:val="32"/>
        </w:rPr>
      </w:pPr>
      <w:bookmarkStart w:id="195" w:name="_Toc22789"/>
      <w:bookmarkStart w:id="196" w:name="_Toc5671"/>
      <w:r>
        <w:rPr>
          <w:rFonts w:hint="default" w:ascii="Times New Roman" w:hAnsi="Times New Roman" w:eastAsia="黑体" w:cs="Times New Roman"/>
          <w:sz w:val="32"/>
          <w:szCs w:val="32"/>
        </w:rPr>
        <w:t>1</w:t>
      </w:r>
      <w:r>
        <w:rPr>
          <w:rFonts w:hint="default" w:ascii="Times New Roman" w:hAnsi="Times New Roman" w:eastAsia="黑体" w:cs="Times New Roman"/>
          <w:sz w:val="32"/>
          <w:szCs w:val="32"/>
          <w:lang w:val="en-US" w:eastAsia="zh-CN"/>
        </w:rPr>
        <w:t>2</w:t>
      </w:r>
      <w:r>
        <w:rPr>
          <w:rFonts w:hint="default" w:ascii="Times New Roman" w:hAnsi="Times New Roman" w:eastAsia="黑体" w:cs="Times New Roman"/>
          <w:sz w:val="32"/>
          <w:szCs w:val="32"/>
        </w:rPr>
        <w:t>开发建设生态环境影响分析</w:t>
      </w:r>
      <w:bookmarkEnd w:id="195"/>
      <w:bookmarkEnd w:id="196"/>
    </w:p>
    <w:p w14:paraId="31E0B2C0">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项目建设地点位于黑龙江省</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val="en-US" w:eastAsia="zh-CN"/>
        </w:rPr>
        <w:t>周边</w:t>
      </w:r>
      <w:r>
        <w:rPr>
          <w:rFonts w:hint="default" w:ascii="Times New Roman" w:hAnsi="Times New Roman" w:eastAsia="仿宋" w:cs="Times New Roman"/>
          <w:color w:val="333333"/>
          <w:spacing w:val="8"/>
          <w:sz w:val="32"/>
          <w:szCs w:val="32"/>
          <w:lang w:eastAsia="zh-CN"/>
        </w:rPr>
        <w:t>，项目场址周边环境较好，无污染源，场址空气清新，气候适宜，周边环境对项目区不会构成废水、废气、废渣、噪声等污染，项目区周围环境状况良好,对成片开发比较有利。</w:t>
      </w:r>
    </w:p>
    <w:p w14:paraId="54CB346D">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lang w:eastAsia="zh-CN"/>
        </w:rPr>
      </w:pPr>
      <w:bookmarkStart w:id="197" w:name="_Toc24234"/>
      <w:bookmarkStart w:id="198" w:name="_Toc27591"/>
      <w:r>
        <w:rPr>
          <w:rFonts w:hint="default" w:ascii="Times New Roman" w:hAnsi="Times New Roman" w:eastAsia="方正楷体_GB2312" w:cs="Times New Roman"/>
          <w:lang w:eastAsia="zh-CN"/>
        </w:rPr>
        <w:t>1</w:t>
      </w:r>
      <w:r>
        <w:rPr>
          <w:rFonts w:hint="default" w:ascii="Times New Roman" w:hAnsi="Times New Roman" w:eastAsia="方正楷体_GB2312" w:cs="Times New Roman"/>
          <w:lang w:val="en-US" w:eastAsia="zh-CN"/>
        </w:rPr>
        <w:t>2</w:t>
      </w:r>
      <w:r>
        <w:rPr>
          <w:rFonts w:hint="default" w:ascii="Times New Roman" w:hAnsi="Times New Roman" w:eastAsia="方正楷体_GB2312" w:cs="Times New Roman"/>
          <w:lang w:eastAsia="zh-CN"/>
        </w:rPr>
        <w:t>.1生态环境影响分析</w:t>
      </w:r>
      <w:bookmarkEnd w:id="197"/>
      <w:bookmarkEnd w:id="198"/>
    </w:p>
    <w:p w14:paraId="35BD27AB">
      <w:pPr>
        <w:pStyle w:val="37"/>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199" w:name="_Toc5599"/>
      <w:bookmarkStart w:id="200" w:name="_Toc16543"/>
      <w:r>
        <w:rPr>
          <w:rFonts w:hint="default" w:ascii="Times New Roman" w:hAnsi="Times New Roman" w:eastAsia="方正仿宋_GB18030" w:cs="Times New Roman"/>
          <w:sz w:val="32"/>
          <w:szCs w:val="32"/>
          <w:lang w:val="en-US" w:eastAsia="zh-CN"/>
        </w:rPr>
        <w:t>12.1.1施工期环境影响分析</w:t>
      </w:r>
      <w:bookmarkEnd w:id="199"/>
      <w:bookmarkEnd w:id="200"/>
    </w:p>
    <w:p w14:paraId="7393FFB5">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1.空气环境</w:t>
      </w:r>
    </w:p>
    <w:p w14:paraId="450C17BD">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建筑施工时土方工程及建筑材料的使用和堆放易产生二次扬尘，运输车辆的往返将使沿途空气质量受到扬尘和车辆尾气的污染。应尽量减少残土外运量，必要的外运要对车辆进行封盖，建筑材料的存放应有固定场所，并加以覆盖或遮挡。同时混凝土现场拌和产生的粉尘对周围空气质量将产生不良影响，应尽量采用商品砼。施工现场应经常洒水，减少二次扬尘。</w:t>
      </w:r>
    </w:p>
    <w:p w14:paraId="5CECD49E">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2.水环境影响分析</w:t>
      </w:r>
    </w:p>
    <w:p w14:paraId="75B30D58">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施工驻地排出的污水主要是施工现场工作人员的生活污水，生活污水中主要污染物为COD、BOD</w:t>
      </w:r>
      <w:r>
        <w:rPr>
          <w:rFonts w:hint="default" w:ascii="Times New Roman" w:hAnsi="Times New Roman" w:eastAsia="仿宋" w:cs="Times New Roman"/>
          <w:color w:val="333333"/>
          <w:spacing w:val="8"/>
          <w:sz w:val="32"/>
          <w:szCs w:val="32"/>
          <w:vertAlign w:val="subscript"/>
          <w:lang w:eastAsia="zh-CN"/>
        </w:rPr>
        <w:t>5</w:t>
      </w:r>
      <w:r>
        <w:rPr>
          <w:rFonts w:hint="default" w:ascii="Times New Roman" w:hAnsi="Times New Roman" w:eastAsia="仿宋" w:cs="Times New Roman"/>
          <w:color w:val="333333"/>
          <w:spacing w:val="8"/>
          <w:sz w:val="32"/>
          <w:szCs w:val="32"/>
          <w:lang w:eastAsia="zh-CN"/>
        </w:rPr>
        <w:t>和悬浮物，生活污水集中收集，排入市政下水管网，并设临时卫生间。施工用水源要管理好，不得浪费水资源。</w:t>
      </w:r>
    </w:p>
    <w:p w14:paraId="1A670277">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3.声环境</w:t>
      </w:r>
    </w:p>
    <w:p w14:paraId="37C0F7A6">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工程施工期噪声主要污染源为施工机械噪声及工程材料运输噪声，为了保护施工区域附近环境以及使业务用房受到影响最小，施工过程中要做到文明施工，拉运材料车辆应绕行业务用房，避免车辆噪声影响各部门办公；工地水泥拌和机、电锯等高噪声设备限时使用，并针对高噪声的机器设备采取隔声降噪措施，如设立单独工作间等方法，采取上述措施后，施工期间的噪声对环境将不会有太大的影响。</w:t>
      </w:r>
    </w:p>
    <w:p w14:paraId="09A5505D">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4.固体废物</w:t>
      </w:r>
    </w:p>
    <w:p w14:paraId="63F0C8BA">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固体废物主要是施工现场工作人员产生的生活垃圾与建筑垃圾，要及时送往市政部门指定的场所进行统一处理，对环境不会产生明显的影响。总之，施工期在采取必要的环保措施后，对环境的影响会降低到最小程度，同时由于施工过程是暂时的，其影响也是短暂的，一般情况下，各类污染源会随着施工期的结束立即消失。</w:t>
      </w:r>
    </w:p>
    <w:p w14:paraId="53A6F6DB">
      <w:pPr>
        <w:pStyle w:val="37"/>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201" w:name="_Toc27810"/>
      <w:bookmarkStart w:id="202" w:name="_Toc16898"/>
      <w:r>
        <w:rPr>
          <w:rFonts w:hint="default" w:ascii="Times New Roman" w:hAnsi="Times New Roman" w:eastAsia="方正仿宋_GB18030" w:cs="Times New Roman"/>
          <w:sz w:val="32"/>
          <w:szCs w:val="32"/>
          <w:lang w:val="en-US" w:eastAsia="zh-CN"/>
        </w:rPr>
        <w:t>12.1.2运营期环境影响分析</w:t>
      </w:r>
      <w:bookmarkEnd w:id="201"/>
      <w:bookmarkEnd w:id="202"/>
    </w:p>
    <w:p w14:paraId="4E767FD4">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本工程建成营运期的主要污染源及污染物主要为噪声污染，汽车尾气的污染及区域景观的改变。</w:t>
      </w:r>
    </w:p>
    <w:p w14:paraId="2C07918C">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1.废水</w:t>
      </w:r>
    </w:p>
    <w:p w14:paraId="2275171A">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污染物：项目区污水主要为生活污水。废水中不含有毒有害物质，但含有大量的COD及BOD等均已超过废水排放标准，对周边环境定会造成污染。</w:t>
      </w:r>
    </w:p>
    <w:p w14:paraId="2DBB824F">
      <w:pPr>
        <w:pStyle w:val="18"/>
        <w:ind w:firstLine="227"/>
        <w:jc w:val="center"/>
        <w:rPr>
          <w:rFonts w:hint="default" w:ascii="Times New Roman" w:hAnsi="Times New Roman" w:eastAsia="黑体" w:cs="Times New Roman"/>
          <w:b/>
          <w:bCs/>
          <w:szCs w:val="21"/>
        </w:rPr>
      </w:pPr>
      <w:r>
        <w:rPr>
          <w:rFonts w:hint="default" w:ascii="Times New Roman" w:hAnsi="Times New Roman" w:eastAsia="黑体" w:cs="Times New Roman"/>
          <w:b/>
          <w:bCs/>
          <w:color w:val="333333"/>
          <w:spacing w:val="8"/>
          <w:szCs w:val="21"/>
        </w:rPr>
        <w:t>表1</w:t>
      </w:r>
      <w:r>
        <w:rPr>
          <w:rFonts w:hint="default" w:ascii="Times New Roman" w:hAnsi="Times New Roman" w:eastAsia="黑体" w:cs="Times New Roman"/>
          <w:b/>
          <w:bCs/>
          <w:color w:val="333333"/>
          <w:spacing w:val="8"/>
          <w:szCs w:val="21"/>
          <w:lang w:val="en-US" w:eastAsia="zh-CN"/>
        </w:rPr>
        <w:t>1</w:t>
      </w:r>
      <w:r>
        <w:rPr>
          <w:rFonts w:hint="default" w:ascii="Times New Roman" w:hAnsi="Times New Roman" w:eastAsia="黑体" w:cs="Times New Roman"/>
          <w:b/>
          <w:bCs/>
          <w:color w:val="333333"/>
          <w:spacing w:val="8"/>
          <w:szCs w:val="21"/>
        </w:rPr>
        <w:t>-1污水排放采用《污水综合排放标准》二级标准</w:t>
      </w:r>
    </w:p>
    <w:tbl>
      <w:tblPr>
        <w:tblStyle w:val="21"/>
        <w:tblW w:w="85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29"/>
        <w:gridCol w:w="2130"/>
        <w:gridCol w:w="2130"/>
        <w:gridCol w:w="2130"/>
      </w:tblGrid>
      <w:tr w14:paraId="68D4F5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9" w:type="dxa"/>
            <w:tcBorders>
              <w:tl2br w:val="nil"/>
              <w:tr2bl w:val="nil"/>
            </w:tcBorders>
            <w:vAlign w:val="center"/>
          </w:tcPr>
          <w:p w14:paraId="5A2E6A1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r>
              <w:rPr>
                <w:rFonts w:hint="default" w:ascii="Times New Roman" w:hAnsi="Times New Roman" w:eastAsia="仿宋" w:cs="Times New Roman"/>
                <w:color w:val="000000"/>
                <w:kern w:val="0"/>
                <w:sz w:val="20"/>
                <w:szCs w:val="20"/>
                <w:lang w:val="en-US" w:eastAsia="zh-CN" w:bidi="ar"/>
              </w:rPr>
              <w:t>项目</w:t>
            </w:r>
          </w:p>
        </w:tc>
        <w:tc>
          <w:tcPr>
            <w:tcW w:w="2130" w:type="dxa"/>
            <w:tcBorders>
              <w:tl2br w:val="nil"/>
              <w:tr2bl w:val="nil"/>
            </w:tcBorders>
            <w:vAlign w:val="center"/>
          </w:tcPr>
          <w:p w14:paraId="6512FEF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r>
              <w:rPr>
                <w:rFonts w:hint="default" w:ascii="Times New Roman" w:hAnsi="Times New Roman" w:eastAsia="仿宋" w:cs="Times New Roman"/>
                <w:color w:val="000000"/>
                <w:kern w:val="0"/>
                <w:sz w:val="20"/>
                <w:szCs w:val="20"/>
                <w:lang w:val="en-US" w:eastAsia="zh-CN" w:bidi="ar"/>
              </w:rPr>
              <w:t>BOD5</w:t>
            </w:r>
          </w:p>
        </w:tc>
        <w:tc>
          <w:tcPr>
            <w:tcW w:w="2130" w:type="dxa"/>
            <w:tcBorders>
              <w:tl2br w:val="nil"/>
              <w:tr2bl w:val="nil"/>
            </w:tcBorders>
            <w:vAlign w:val="center"/>
          </w:tcPr>
          <w:p w14:paraId="186343F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r>
              <w:rPr>
                <w:rFonts w:hint="default" w:ascii="Times New Roman" w:hAnsi="Times New Roman" w:eastAsia="仿宋" w:cs="Times New Roman"/>
                <w:color w:val="000000"/>
                <w:kern w:val="0"/>
                <w:sz w:val="20"/>
                <w:szCs w:val="20"/>
                <w:lang w:val="en-US" w:eastAsia="zh-CN" w:bidi="ar"/>
              </w:rPr>
              <w:t>CDD</w:t>
            </w:r>
          </w:p>
        </w:tc>
        <w:tc>
          <w:tcPr>
            <w:tcW w:w="2130" w:type="dxa"/>
            <w:tcBorders>
              <w:tl2br w:val="nil"/>
              <w:tr2bl w:val="nil"/>
            </w:tcBorders>
            <w:vAlign w:val="center"/>
          </w:tcPr>
          <w:p w14:paraId="5322467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r>
              <w:rPr>
                <w:rFonts w:hint="default" w:ascii="Times New Roman" w:hAnsi="Times New Roman" w:eastAsia="仿宋" w:cs="Times New Roman"/>
                <w:color w:val="000000"/>
                <w:kern w:val="0"/>
                <w:sz w:val="20"/>
                <w:szCs w:val="20"/>
                <w:lang w:val="en-US" w:eastAsia="zh-CN" w:bidi="ar"/>
              </w:rPr>
              <w:t>SS</w:t>
            </w:r>
          </w:p>
        </w:tc>
      </w:tr>
      <w:tr w14:paraId="71F544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9" w:type="dxa"/>
            <w:tcBorders>
              <w:tl2br w:val="nil"/>
              <w:tr2bl w:val="nil"/>
            </w:tcBorders>
            <w:vAlign w:val="center"/>
          </w:tcPr>
          <w:p w14:paraId="43E08DB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r>
              <w:rPr>
                <w:rFonts w:hint="default" w:ascii="Times New Roman" w:hAnsi="Times New Roman" w:eastAsia="仿宋" w:cs="Times New Roman"/>
                <w:color w:val="000000"/>
                <w:kern w:val="0"/>
                <w:sz w:val="20"/>
                <w:szCs w:val="20"/>
                <w:lang w:val="en-US" w:eastAsia="zh-CN" w:bidi="ar"/>
              </w:rPr>
              <w:t>标准</w:t>
            </w:r>
          </w:p>
        </w:tc>
        <w:tc>
          <w:tcPr>
            <w:tcW w:w="2130" w:type="dxa"/>
            <w:tcBorders>
              <w:tl2br w:val="nil"/>
              <w:tr2bl w:val="nil"/>
            </w:tcBorders>
            <w:vAlign w:val="center"/>
          </w:tcPr>
          <w:p w14:paraId="4E11B52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r>
              <w:rPr>
                <w:rFonts w:hint="default" w:ascii="Times New Roman" w:hAnsi="Times New Roman" w:eastAsia="仿宋" w:cs="Times New Roman"/>
                <w:color w:val="000000"/>
                <w:kern w:val="0"/>
                <w:sz w:val="20"/>
                <w:szCs w:val="20"/>
                <w:lang w:val="en-US" w:eastAsia="zh-CN" w:bidi="ar"/>
              </w:rPr>
              <w:t>100mg/L</w:t>
            </w:r>
          </w:p>
        </w:tc>
        <w:tc>
          <w:tcPr>
            <w:tcW w:w="2130" w:type="dxa"/>
            <w:tcBorders>
              <w:tl2br w:val="nil"/>
              <w:tr2bl w:val="nil"/>
            </w:tcBorders>
            <w:vAlign w:val="center"/>
          </w:tcPr>
          <w:p w14:paraId="45119FF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r>
              <w:rPr>
                <w:rFonts w:hint="default" w:ascii="Times New Roman" w:hAnsi="Times New Roman" w:eastAsia="仿宋" w:cs="Times New Roman"/>
                <w:color w:val="000000"/>
                <w:kern w:val="0"/>
                <w:sz w:val="20"/>
                <w:szCs w:val="20"/>
                <w:lang w:val="en-US" w:eastAsia="zh-CN" w:bidi="ar"/>
              </w:rPr>
              <w:t>150mg/L</w:t>
            </w:r>
          </w:p>
        </w:tc>
        <w:tc>
          <w:tcPr>
            <w:tcW w:w="2130" w:type="dxa"/>
            <w:tcBorders>
              <w:tl2br w:val="nil"/>
              <w:tr2bl w:val="nil"/>
            </w:tcBorders>
            <w:vAlign w:val="center"/>
          </w:tcPr>
          <w:p w14:paraId="3692600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r>
              <w:rPr>
                <w:rFonts w:hint="default" w:ascii="Times New Roman" w:hAnsi="Times New Roman" w:eastAsia="仿宋" w:cs="Times New Roman"/>
                <w:color w:val="000000"/>
                <w:kern w:val="0"/>
                <w:sz w:val="20"/>
                <w:szCs w:val="20"/>
                <w:lang w:val="en-US" w:eastAsia="zh-CN" w:bidi="ar"/>
              </w:rPr>
              <w:t>120mg/L</w:t>
            </w:r>
          </w:p>
        </w:tc>
      </w:tr>
    </w:tbl>
    <w:p w14:paraId="53801CA2">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2.生产、生活垃圾</w:t>
      </w:r>
    </w:p>
    <w:p w14:paraId="31A9F4A1">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生活垃圾是项目区主要固体排放物，处理不好将对周边的环境会构成污染，因此加强管理，采取治理措施，是减少污染的主要对策。</w:t>
      </w:r>
    </w:p>
    <w:p w14:paraId="6F53E0D0">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3.噪声</w:t>
      </w:r>
    </w:p>
    <w:p w14:paraId="4F75E9E3">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pPr>
      <w:r>
        <w:rPr>
          <w:rFonts w:hint="default" w:ascii="Times New Roman" w:hAnsi="Times New Roman" w:eastAsia="仿宋" w:cs="Times New Roman"/>
          <w:color w:val="333333"/>
          <w:spacing w:val="8"/>
          <w:sz w:val="32"/>
          <w:szCs w:val="32"/>
          <w:lang w:eastAsia="zh-CN"/>
        </w:rPr>
        <w:t>生产过程中所使用的机械设备可产生一定的噪声。</w:t>
      </w:r>
      <w:r>
        <w:rPr>
          <w:rFonts w:hint="default" w:ascii="Times New Roman" w:hAnsi="Times New Roman" w:eastAsia="仿宋" w:cs="Times New Roman"/>
          <w:color w:val="333333"/>
          <w:spacing w:val="8"/>
          <w:sz w:val="32"/>
          <w:szCs w:val="32"/>
          <w:lang w:val="en-US" w:eastAsia="zh-CN"/>
        </w:rPr>
        <w:t>场区平面布置优化、合理布局，将高噪声设备尽量布置在远离场界处；②加强场区绿化用地建设。③对运行设备应做到勤检修、多维护，保持设备在最佳工况下运行。④优化运输路线，尽量走一些声环境敏感目标少的道路，减少对运输路线噪声敏感点的污染。</w:t>
      </w:r>
    </w:p>
    <w:p w14:paraId="209B2C7A">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lang w:eastAsia="zh-CN"/>
        </w:rPr>
      </w:pPr>
      <w:bookmarkStart w:id="203" w:name="_Toc9705"/>
      <w:bookmarkStart w:id="204" w:name="_Toc2501"/>
      <w:r>
        <w:rPr>
          <w:rFonts w:hint="default" w:ascii="Times New Roman" w:hAnsi="Times New Roman" w:eastAsia="方正楷体_GB2312" w:cs="Times New Roman"/>
          <w:lang w:eastAsia="zh-CN"/>
        </w:rPr>
        <w:t>1</w:t>
      </w:r>
      <w:r>
        <w:rPr>
          <w:rFonts w:hint="default" w:ascii="Times New Roman" w:hAnsi="Times New Roman" w:eastAsia="方正楷体_GB2312" w:cs="Times New Roman"/>
          <w:lang w:val="en-US" w:eastAsia="zh-CN"/>
        </w:rPr>
        <w:t>2</w:t>
      </w:r>
      <w:r>
        <w:rPr>
          <w:rFonts w:hint="default" w:ascii="Times New Roman" w:hAnsi="Times New Roman" w:eastAsia="方正楷体_GB2312" w:cs="Times New Roman"/>
          <w:lang w:eastAsia="zh-CN"/>
        </w:rPr>
        <w:t>.2采取的主要保护对策和措施</w:t>
      </w:r>
      <w:bookmarkEnd w:id="203"/>
      <w:bookmarkEnd w:id="204"/>
    </w:p>
    <w:p w14:paraId="4FF6C7AD">
      <w:pPr>
        <w:pStyle w:val="37"/>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205" w:name="_Toc18859"/>
      <w:bookmarkStart w:id="206" w:name="_Toc19282"/>
      <w:r>
        <w:rPr>
          <w:rFonts w:hint="default" w:ascii="Times New Roman" w:hAnsi="Times New Roman" w:eastAsia="方正仿宋_GB18030" w:cs="Times New Roman"/>
          <w:sz w:val="32"/>
          <w:szCs w:val="32"/>
          <w:lang w:val="en-US" w:eastAsia="zh-CN"/>
        </w:rPr>
        <w:t>12.2.1建设项目施工期拟采取的防治措施</w:t>
      </w:r>
      <w:bookmarkEnd w:id="205"/>
      <w:bookmarkEnd w:id="206"/>
    </w:p>
    <w:p w14:paraId="6075C3BE">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1.加强工程施工期环境管理，做好施工扬尘污染防治工作。施工过程中所用的建筑材料，如水泥、砂石等，必须设固定堆放场地，施工场地定时洒水，防止粉尘及二次扬尘污染施工场地周围环境，影响空气质量。</w:t>
      </w:r>
    </w:p>
    <w:p w14:paraId="76FFBAC9">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2.施工现场及施工人员驻地应设置临时简易厕所，对施工期生活污水应设置临时蓄水池，集中收集，运往指定地点排放，严禁散排。</w:t>
      </w:r>
    </w:p>
    <w:p w14:paraId="15ACDC04">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3.施工期产生的固体废物，应及时清运至建筑垃圾指定倾倒地点，运输车辆应加盖苫布，避免对沿线环境造成污染。</w:t>
      </w:r>
    </w:p>
    <w:p w14:paraId="318813A7">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4.施工人员生活垃圾应有序堆放，及时清运，不得随处丢弃，避免污染周围环境。</w:t>
      </w:r>
    </w:p>
    <w:p w14:paraId="417D7CB0">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5.加强施工管理，采取措施防治施工噪声污染，施工场界应修建砖围墙，围墙高度应大于2m；使噪声排放符合国家《建筑施工场界环境噪声限值》（GB12523-2011）规定。高噪声机械和运材车辆时以后禁止使用，以免发生扰民现象。</w:t>
      </w:r>
    </w:p>
    <w:p w14:paraId="5661F4C1">
      <w:pPr>
        <w:pStyle w:val="37"/>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207" w:name="_Toc4444"/>
      <w:bookmarkStart w:id="208" w:name="_Toc3020"/>
      <w:r>
        <w:rPr>
          <w:rFonts w:hint="default" w:ascii="Times New Roman" w:hAnsi="Times New Roman" w:eastAsia="方正仿宋_GB18030" w:cs="Times New Roman"/>
          <w:sz w:val="32"/>
          <w:szCs w:val="32"/>
          <w:lang w:val="en-US" w:eastAsia="zh-CN"/>
        </w:rPr>
        <w:t>12.2.2运营后环境保护措施</w:t>
      </w:r>
      <w:bookmarkEnd w:id="207"/>
      <w:bookmarkEnd w:id="208"/>
    </w:p>
    <w:p w14:paraId="7CBBC0B9">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1.污水及治理</w:t>
      </w:r>
    </w:p>
    <w:p w14:paraId="20E461BA">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本项目生产用水清洗用水，水质较简单，经污水处理设施处理后排放入规划污水管网；生活污水主要为职工生活污水，生活污水经污水处理设施处理后排入规划管道内。</w:t>
      </w:r>
    </w:p>
    <w:p w14:paraId="08E2F568">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2.废气及废渣治理</w:t>
      </w:r>
    </w:p>
    <w:p w14:paraId="7943CB41">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主要来源于汽车排放的尾气和污水、垃圾产生的臭气等等。</w:t>
      </w:r>
    </w:p>
    <w:p w14:paraId="061D3FC1">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治理措施：生活污水经污水处理设施处理处理后排入规划管道内。生活垃圾由城建部门集中处理。</w:t>
      </w:r>
    </w:p>
    <w:p w14:paraId="2AC021CA">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3.生产、生活垃圾的治理</w:t>
      </w:r>
    </w:p>
    <w:p w14:paraId="10EF6FD0">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本项目在生产过程中的固体废弃物在指定地点堆放，定期做统一处理，不会对环境产生污染。生活垃圾产生量很小，在厂内定点存放，定期统一处理。</w:t>
      </w:r>
    </w:p>
    <w:p w14:paraId="12AC7941">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4.噪声及治理</w:t>
      </w:r>
    </w:p>
    <w:p w14:paraId="4F42C2C4">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本工程对噪音的防治最根本的办法是消除噪声源。生产过程中所使用的机械设备产生一定的噪声，在设备订货中要求设备制造商采取消音和隔音措施；对产生噪声的设备均采取基础减震，齿轮或其他摩擦处定时添加润滑油、厂房隔声等措施，控制噪音在70分贝的指标。同时厂界修建围墙、绿化带。经过防治处理后，设备产生的噪声可低60dB，达到国家规定标准。其他噪声白天达到55dB以内，夜间达到45dB以内，符合规定。</w:t>
      </w:r>
    </w:p>
    <w:p w14:paraId="02BAD3DA">
      <w:pPr>
        <w:pStyle w:val="37"/>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209" w:name="_Toc32076"/>
      <w:bookmarkStart w:id="210" w:name="_Toc2799"/>
      <w:r>
        <w:rPr>
          <w:rFonts w:hint="default" w:ascii="Times New Roman" w:hAnsi="Times New Roman" w:eastAsia="方正仿宋_GB18030" w:cs="Times New Roman"/>
          <w:sz w:val="32"/>
          <w:szCs w:val="32"/>
          <w:lang w:val="en-US" w:eastAsia="zh-CN"/>
        </w:rPr>
        <w:t>12.2.3水土保持</w:t>
      </w:r>
      <w:bookmarkEnd w:id="209"/>
      <w:bookmarkEnd w:id="210"/>
    </w:p>
    <w:p w14:paraId="4A87CFC0">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在项目建设的过程中也要确保在最大程度上减少对地表植被和原地貌的损坏。在绿化系统构建的过程中要令其达到相关的行业规范要求，保持水土，实现生态环境的美化，项目在建设的过程中非常的平缓，在运输的过程中也有相对比较便利的条件，在实施之后能够对当地区域范围内的水土起到良好的保持作用，符合水土保持的根本要求。</w:t>
      </w:r>
    </w:p>
    <w:p w14:paraId="2CD682DC">
      <w:pPr>
        <w:pStyle w:val="37"/>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211" w:name="_Toc5058"/>
      <w:bookmarkStart w:id="212" w:name="_Toc9445"/>
      <w:r>
        <w:rPr>
          <w:rFonts w:hint="default" w:ascii="Times New Roman" w:hAnsi="Times New Roman" w:eastAsia="方正仿宋_GB18030" w:cs="Times New Roman"/>
          <w:sz w:val="32"/>
          <w:szCs w:val="32"/>
          <w:lang w:val="en-US" w:eastAsia="zh-CN"/>
        </w:rPr>
        <w:t>12.2.4生态环境影响分析</w:t>
      </w:r>
      <w:bookmarkEnd w:id="211"/>
      <w:bookmarkEnd w:id="212"/>
    </w:p>
    <w:p w14:paraId="35395A1F">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本次成片开发在建设和运行中无环境特约因素，工程对环境的不利影响主要表现在对声环境、空气环境及水环境等方面，这些不利影响在严格落实相应环保措施情况下，可以得到有效控制，从环境影响角度看，本次成片开发是对环境不良影响较小，是积极可行的。</w:t>
      </w:r>
    </w:p>
    <w:p w14:paraId="0CD9758F">
      <w:pPr>
        <w:pStyle w:val="2"/>
        <w:pageBreakBefore w:val="0"/>
        <w:widowControl w:val="0"/>
        <w:kinsoku/>
        <w:wordWrap/>
        <w:overflowPunct/>
        <w:topLinePunct w:val="0"/>
        <w:autoSpaceDE/>
        <w:autoSpaceDN/>
        <w:bidi w:val="0"/>
        <w:adjustRightInd/>
        <w:snapToGrid/>
        <w:spacing w:before="0" w:after="0" w:line="560" w:lineRule="exact"/>
        <w:ind w:firstLine="643" w:firstLineChars="200"/>
        <w:rPr>
          <w:rFonts w:hint="default" w:ascii="Times New Roman" w:hAnsi="Times New Roman" w:eastAsia="黑体" w:cs="Times New Roman"/>
          <w:sz w:val="32"/>
          <w:szCs w:val="32"/>
        </w:rPr>
      </w:pPr>
      <w:bookmarkStart w:id="213" w:name="_Toc20163"/>
      <w:bookmarkStart w:id="214" w:name="_Toc3728"/>
      <w:r>
        <w:rPr>
          <w:rFonts w:hint="default" w:ascii="Times New Roman" w:hAnsi="Times New Roman" w:eastAsia="黑体" w:cs="Times New Roman"/>
          <w:sz w:val="32"/>
          <w:szCs w:val="32"/>
        </w:rPr>
        <w:t>1</w:t>
      </w:r>
      <w:r>
        <w:rPr>
          <w:rFonts w:hint="default" w:ascii="Times New Roman" w:hAnsi="Times New Roman" w:eastAsia="黑体" w:cs="Times New Roman"/>
          <w:sz w:val="32"/>
          <w:szCs w:val="32"/>
          <w:lang w:val="en-US" w:eastAsia="zh-CN"/>
        </w:rPr>
        <w:t>3</w:t>
      </w:r>
      <w:r>
        <w:rPr>
          <w:rFonts w:hint="default" w:ascii="Times New Roman" w:hAnsi="Times New Roman" w:eastAsia="黑体" w:cs="Times New Roman"/>
          <w:sz w:val="32"/>
          <w:szCs w:val="32"/>
        </w:rPr>
        <w:t>.土地利用效益评估</w:t>
      </w:r>
      <w:bookmarkEnd w:id="213"/>
      <w:bookmarkEnd w:id="214"/>
    </w:p>
    <w:p w14:paraId="602D1A77">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215" w:name="_Toc9408"/>
      <w:bookmarkStart w:id="216" w:name="_Toc2079"/>
      <w:r>
        <w:rPr>
          <w:rFonts w:hint="default" w:ascii="Times New Roman" w:hAnsi="Times New Roman" w:eastAsia="方正楷体_GB2312" w:cs="Times New Roman"/>
        </w:rPr>
        <w:t>1</w:t>
      </w:r>
      <w:r>
        <w:rPr>
          <w:rFonts w:hint="default" w:ascii="Times New Roman" w:hAnsi="Times New Roman" w:eastAsia="方正楷体_GB2312" w:cs="Times New Roman"/>
          <w:lang w:val="en-US" w:eastAsia="zh-CN"/>
        </w:rPr>
        <w:t>3</w:t>
      </w:r>
      <w:r>
        <w:rPr>
          <w:rFonts w:hint="default" w:ascii="Times New Roman" w:hAnsi="Times New Roman" w:eastAsia="方正楷体_GB2312" w:cs="Times New Roman"/>
        </w:rPr>
        <w:t>.1土地利用效益</w:t>
      </w:r>
      <w:bookmarkEnd w:id="215"/>
      <w:bookmarkEnd w:id="216"/>
    </w:p>
    <w:p w14:paraId="56B93CCC">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本次成片开发方案涉及项目位于经自然资源部批准使用的城镇开发边界内，依据</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的各项用地需要和发展趋势制定的国土空间规划战略，合理制定产业用地政策，优先保障技术含量高、经济效益好的产业发展用地，土地成片开发是按规划用地性质进行征地，改变传统征地模式，从节约集约用地、提高土地利用效率出发，使城市建设适当紧凑发展，建设一片、形成一片、配套完善一片，提高基础设施使用效率，从而提高土地利用效益。</w:t>
      </w:r>
    </w:p>
    <w:p w14:paraId="6AC4D331">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217" w:name="_Toc14204"/>
      <w:bookmarkStart w:id="218" w:name="_Toc12272"/>
      <w:r>
        <w:rPr>
          <w:rFonts w:hint="default" w:ascii="Times New Roman" w:hAnsi="Times New Roman" w:eastAsia="方正楷体_GB2312" w:cs="Times New Roman"/>
        </w:rPr>
        <w:t>1</w:t>
      </w:r>
      <w:r>
        <w:rPr>
          <w:rFonts w:hint="default" w:ascii="Times New Roman" w:hAnsi="Times New Roman" w:eastAsia="方正楷体_GB2312" w:cs="Times New Roman"/>
          <w:lang w:val="en-US" w:eastAsia="zh-CN"/>
        </w:rPr>
        <w:t>3</w:t>
      </w:r>
      <w:r>
        <w:rPr>
          <w:rFonts w:hint="default" w:ascii="Times New Roman" w:hAnsi="Times New Roman" w:eastAsia="方正楷体_GB2312" w:cs="Times New Roman"/>
        </w:rPr>
        <w:t>.2经济效益</w:t>
      </w:r>
      <w:bookmarkEnd w:id="217"/>
      <w:bookmarkEnd w:id="218"/>
    </w:p>
    <w:p w14:paraId="1FAEE10B">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成片开发区通过土地征用、划拨和市场手段将土地资源配置到各土地使用者手中，为城市建设储存了后备力量与经济发展保障，为</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经济的可持续发展、高质量发展提供坚实的后盾。成片开发区将带动直接经济效益，预计相关服务业税收将大幅增加，给</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带来新的税收增长点，为</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的经济发展创造直接可观的经济效益。</w:t>
      </w:r>
    </w:p>
    <w:p w14:paraId="1A0B1605">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219" w:name="_Toc1052"/>
      <w:bookmarkStart w:id="220" w:name="_Toc4721"/>
      <w:r>
        <w:rPr>
          <w:rFonts w:hint="default" w:ascii="Times New Roman" w:hAnsi="Times New Roman" w:eastAsia="方正楷体_GB2312" w:cs="Times New Roman"/>
        </w:rPr>
        <w:t>1</w:t>
      </w:r>
      <w:r>
        <w:rPr>
          <w:rFonts w:hint="default" w:ascii="Times New Roman" w:hAnsi="Times New Roman" w:eastAsia="方正楷体_GB2312" w:cs="Times New Roman"/>
          <w:lang w:val="en-US" w:eastAsia="zh-CN"/>
        </w:rPr>
        <w:t>3</w:t>
      </w:r>
      <w:r>
        <w:rPr>
          <w:rFonts w:hint="default" w:ascii="Times New Roman" w:hAnsi="Times New Roman" w:eastAsia="方正楷体_GB2312" w:cs="Times New Roman"/>
        </w:rPr>
        <w:t>.3社会效益</w:t>
      </w:r>
      <w:bookmarkEnd w:id="219"/>
      <w:bookmarkEnd w:id="220"/>
    </w:p>
    <w:p w14:paraId="39503C5A">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成片开发区项目的实施会对社会、经济、产业等各方面都产生重大影响，对土地利用、增加就业、旅游休闲、产业升级等方面有巨大的促进作用。</w:t>
      </w:r>
    </w:p>
    <w:p w14:paraId="4B4D469C">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通过本方案成片开发区的实施，能够提高</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产业整体竞争力，促进</w:t>
      </w:r>
      <w:r>
        <w:rPr>
          <w:rFonts w:hint="eastAsia" w:ascii="Times New Roman" w:hAnsi="Times New Roman" w:eastAsia="仿宋" w:cs="Times New Roman"/>
          <w:color w:val="333333"/>
          <w:spacing w:val="8"/>
          <w:sz w:val="32"/>
          <w:szCs w:val="32"/>
          <w:lang w:val="en-US" w:eastAsia="zh-CN"/>
        </w:rPr>
        <w:t>鸡东县</w:t>
      </w:r>
      <w:r>
        <w:rPr>
          <w:rFonts w:hint="default" w:ascii="Times New Roman" w:hAnsi="Times New Roman" w:eastAsia="仿宋" w:cs="Times New Roman"/>
          <w:color w:val="333333"/>
          <w:spacing w:val="8"/>
          <w:sz w:val="32"/>
          <w:szCs w:val="32"/>
          <w:lang w:eastAsia="zh-CN"/>
        </w:rPr>
        <w:t>工业产业提档升级，扩大</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知名度。成片开发区的建设，将需求大量的建筑、服务工人，项目建成后，在冬季农闲时，提供季节性岗位约20余个，提高城乡居民收入水平，为</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人民提供了大量的就业机会，维护了社会稳定，为人民安居乐业提供了社会保障。</w:t>
      </w:r>
    </w:p>
    <w:p w14:paraId="6CBD3000">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221" w:name="_Toc1777"/>
      <w:bookmarkStart w:id="222" w:name="_Toc22214"/>
      <w:r>
        <w:rPr>
          <w:rFonts w:hint="default" w:ascii="Times New Roman" w:hAnsi="Times New Roman" w:eastAsia="方正楷体_GB2312" w:cs="Times New Roman"/>
        </w:rPr>
        <w:t>1</w:t>
      </w:r>
      <w:r>
        <w:rPr>
          <w:rFonts w:hint="default" w:ascii="Times New Roman" w:hAnsi="Times New Roman" w:eastAsia="方正楷体_GB2312" w:cs="Times New Roman"/>
          <w:lang w:val="en-US" w:eastAsia="zh-CN"/>
        </w:rPr>
        <w:t>3</w:t>
      </w:r>
      <w:r>
        <w:rPr>
          <w:rFonts w:hint="default" w:ascii="Times New Roman" w:hAnsi="Times New Roman" w:eastAsia="方正楷体_GB2312" w:cs="Times New Roman"/>
        </w:rPr>
        <w:t>.4生态效益</w:t>
      </w:r>
      <w:bookmarkEnd w:id="221"/>
      <w:bookmarkEnd w:id="222"/>
    </w:p>
    <w:p w14:paraId="11B7C452">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本次成片开发内，公共服务设施约</w:t>
      </w:r>
      <w:r>
        <w:rPr>
          <w:rFonts w:hint="eastAsia" w:ascii="Times New Roman" w:hAnsi="Times New Roman" w:eastAsia="仿宋" w:cs="Times New Roman"/>
          <w:color w:val="333333"/>
          <w:spacing w:val="8"/>
          <w:sz w:val="32"/>
          <w:szCs w:val="32"/>
          <w:lang w:eastAsia="zh-CN"/>
        </w:rPr>
        <w:t>30.9362</w:t>
      </w:r>
      <w:r>
        <w:rPr>
          <w:rFonts w:hint="default" w:ascii="Times New Roman" w:hAnsi="Times New Roman" w:eastAsia="仿宋" w:cs="Times New Roman"/>
          <w:color w:val="333333"/>
          <w:spacing w:val="8"/>
          <w:sz w:val="32"/>
          <w:szCs w:val="32"/>
          <w:lang w:eastAsia="zh-CN"/>
        </w:rPr>
        <w:t>公顷，占使用土地总面积约</w:t>
      </w:r>
      <w:r>
        <w:rPr>
          <w:rFonts w:hint="eastAsia" w:ascii="Times New Roman" w:hAnsi="Times New Roman" w:eastAsia="仿宋" w:cs="Times New Roman"/>
          <w:color w:val="333333"/>
          <w:spacing w:val="8"/>
          <w:sz w:val="32"/>
          <w:szCs w:val="32"/>
          <w:lang w:val="en-US" w:eastAsia="zh-CN"/>
        </w:rPr>
        <w:t>40</w:t>
      </w:r>
      <w:r>
        <w:rPr>
          <w:rFonts w:hint="default" w:ascii="Times New Roman" w:hAnsi="Times New Roman" w:eastAsia="仿宋" w:cs="Times New Roman"/>
          <w:color w:val="333333"/>
          <w:spacing w:val="8"/>
          <w:sz w:val="32"/>
          <w:szCs w:val="32"/>
          <w:lang w:eastAsia="zh-CN"/>
        </w:rPr>
        <w:t>%，有效提升人均公共服务设施面积，对加强生态环境建设，提高黑龙江生态环境质量，有效恢复生态绿化功能，改变园区环境，在减少水域污染、保持水土，涵养水源、降低噪音等诸方面发挥显著作用，使项目区域生态环境实现良性循环，实现人与自然、经济发展与资源环境协调、可持续发展。</w:t>
      </w:r>
    </w:p>
    <w:p w14:paraId="3925FE77">
      <w:pPr>
        <w:pStyle w:val="24"/>
        <w:pageBreakBefore w:val="0"/>
        <w:widowControl w:val="0"/>
        <w:kinsoku/>
        <w:wordWrap/>
        <w:overflowPunct/>
        <w:topLinePunct w:val="0"/>
        <w:autoSpaceDE/>
        <w:autoSpaceDN/>
        <w:bidi w:val="0"/>
        <w:adjustRightInd/>
        <w:snapToGrid/>
        <w:spacing w:after="0" w:line="560" w:lineRule="exact"/>
        <w:ind w:firstLine="420" w:firstLineChars="200"/>
        <w:rPr>
          <w:rFonts w:hint="default" w:ascii="Times New Roman" w:hAnsi="Times New Roman" w:cs="Times New Roman"/>
        </w:rPr>
      </w:pPr>
    </w:p>
    <w:p w14:paraId="19358A43">
      <w:pPr>
        <w:pStyle w:val="2"/>
        <w:pageBreakBefore w:val="0"/>
        <w:widowControl w:val="0"/>
        <w:kinsoku/>
        <w:wordWrap/>
        <w:overflowPunct/>
        <w:topLinePunct w:val="0"/>
        <w:autoSpaceDE/>
        <w:autoSpaceDN/>
        <w:bidi w:val="0"/>
        <w:adjustRightInd/>
        <w:snapToGrid/>
        <w:spacing w:before="0" w:after="0" w:line="560" w:lineRule="exact"/>
        <w:ind w:firstLine="883" w:firstLineChars="200"/>
        <w:rPr>
          <w:rFonts w:hint="default" w:ascii="Times New Roman" w:hAnsi="Times New Roman" w:cs="Times New Roman"/>
        </w:rPr>
        <w:sectPr>
          <w:pgSz w:w="11906" w:h="16838"/>
          <w:pgMar w:top="1440" w:right="1587" w:bottom="1440" w:left="1587" w:header="851" w:footer="992" w:gutter="0"/>
          <w:pgBorders>
            <w:top w:val="none" w:sz="0" w:space="0"/>
            <w:left w:val="none" w:sz="0" w:space="0"/>
            <w:bottom w:val="none" w:sz="0" w:space="0"/>
            <w:right w:val="none" w:sz="0" w:space="0"/>
          </w:pgBorders>
          <w:cols w:space="0" w:num="1"/>
          <w:rtlGutter w:val="0"/>
          <w:docGrid w:type="lines" w:linePitch="323" w:charSpace="0"/>
        </w:sectPr>
      </w:pPr>
    </w:p>
    <w:p w14:paraId="5AA5FD27">
      <w:pPr>
        <w:pStyle w:val="2"/>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黑体" w:cs="Times New Roman"/>
          <w:sz w:val="32"/>
          <w:szCs w:val="32"/>
        </w:rPr>
      </w:pPr>
      <w:bookmarkStart w:id="223" w:name="_Toc7878"/>
      <w:bookmarkStart w:id="224" w:name="_Toc6445"/>
      <w:r>
        <w:rPr>
          <w:rFonts w:hint="default" w:ascii="Times New Roman" w:hAnsi="Times New Roman" w:eastAsia="黑体" w:cs="Times New Roman"/>
          <w:sz w:val="32"/>
          <w:szCs w:val="32"/>
          <w:lang w:eastAsia="zh-CN"/>
        </w:rPr>
        <w:t>1</w:t>
      </w:r>
      <w:r>
        <w:rPr>
          <w:rFonts w:hint="default" w:ascii="Times New Roman" w:hAnsi="Times New Roman" w:eastAsia="黑体" w:cs="Times New Roman"/>
          <w:sz w:val="32"/>
          <w:szCs w:val="32"/>
          <w:lang w:val="en-US" w:eastAsia="zh-CN"/>
        </w:rPr>
        <w:t>4</w:t>
      </w:r>
      <w:r>
        <w:rPr>
          <w:rFonts w:hint="default" w:ascii="Times New Roman" w:hAnsi="Times New Roman" w:eastAsia="黑体" w:cs="Times New Roman"/>
          <w:sz w:val="32"/>
          <w:szCs w:val="32"/>
        </w:rPr>
        <w:t>.公众参与情况</w:t>
      </w:r>
      <w:bookmarkEnd w:id="223"/>
      <w:bookmarkEnd w:id="224"/>
    </w:p>
    <w:p w14:paraId="4587F82C">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225" w:name="_Toc27377"/>
      <w:bookmarkStart w:id="226" w:name="_Toc9979"/>
      <w:r>
        <w:rPr>
          <w:rFonts w:hint="default" w:ascii="Times New Roman" w:hAnsi="Times New Roman" w:eastAsia="方正楷体_GB2312" w:cs="Times New Roman"/>
          <w:lang w:eastAsia="zh-CN"/>
        </w:rPr>
        <w:t>1</w:t>
      </w:r>
      <w:r>
        <w:rPr>
          <w:rFonts w:hint="default" w:ascii="Times New Roman" w:hAnsi="Times New Roman" w:eastAsia="方正楷体_GB2312" w:cs="Times New Roman"/>
          <w:lang w:val="en-US" w:eastAsia="zh-CN"/>
        </w:rPr>
        <w:t>4</w:t>
      </w:r>
      <w:r>
        <w:rPr>
          <w:rFonts w:hint="default" w:ascii="Times New Roman" w:hAnsi="Times New Roman" w:eastAsia="方正楷体_GB2312" w:cs="Times New Roman"/>
        </w:rPr>
        <w:t>.1听取人大代表、政协委员、社会公众和有关专家学者意见</w:t>
      </w:r>
      <w:bookmarkEnd w:id="225"/>
      <w:bookmarkEnd w:id="226"/>
    </w:p>
    <w:p w14:paraId="338BB5CC">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eastAsia" w:ascii="Times New Roman" w:hAnsi="Times New Roman" w:eastAsia="仿宋" w:cs="Times New Roman"/>
          <w:color w:val="333333"/>
          <w:spacing w:val="8"/>
          <w:sz w:val="32"/>
          <w:szCs w:val="32"/>
          <w:lang w:val="en-US" w:eastAsia="zh-CN"/>
        </w:rPr>
        <w:t>鸡</w:t>
      </w:r>
      <w:r>
        <w:rPr>
          <w:rFonts w:hint="eastAsia" w:ascii="Times New Roman" w:hAnsi="Times New Roman" w:eastAsia="仿宋" w:cs="Times New Roman"/>
          <w:color w:val="333333"/>
          <w:spacing w:val="8"/>
          <w:sz w:val="32"/>
          <w:szCs w:val="32"/>
          <w:lang w:eastAsia="zh-CN"/>
        </w:rPr>
        <w:t>东县</w:t>
      </w:r>
      <w:r>
        <w:rPr>
          <w:rFonts w:hint="default" w:ascii="Times New Roman" w:hAnsi="Times New Roman" w:eastAsia="仿宋" w:cs="Times New Roman"/>
          <w:color w:val="333333"/>
          <w:spacing w:val="8"/>
          <w:sz w:val="32"/>
          <w:szCs w:val="32"/>
          <w:lang w:eastAsia="zh-CN"/>
        </w:rPr>
        <w:t>人民政府组织听取了</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人民政府、</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水务局、</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自然资源局、</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发展和改革委员会、</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财政局、</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政协、</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生态环境局、</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人大城乡建设环境保护委员会、</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司法局、</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农业农村局、</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林草局等相关部门意见，经充分讨论，同意本方案。</w:t>
      </w:r>
    </w:p>
    <w:p w14:paraId="1C01962E">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227" w:name="_Toc5422"/>
      <w:bookmarkStart w:id="228" w:name="_Toc19763"/>
      <w:r>
        <w:rPr>
          <w:rFonts w:hint="default" w:ascii="Times New Roman" w:hAnsi="Times New Roman" w:eastAsia="方正楷体_GB2312" w:cs="Times New Roman"/>
          <w:lang w:eastAsia="zh-CN"/>
        </w:rPr>
        <w:t>1</w:t>
      </w:r>
      <w:r>
        <w:rPr>
          <w:rFonts w:hint="default" w:ascii="Times New Roman" w:hAnsi="Times New Roman" w:eastAsia="方正楷体_GB2312" w:cs="Times New Roman"/>
          <w:lang w:val="en-US" w:eastAsia="zh-CN"/>
        </w:rPr>
        <w:t>4</w:t>
      </w:r>
      <w:r>
        <w:rPr>
          <w:rFonts w:hint="default" w:ascii="Times New Roman" w:hAnsi="Times New Roman" w:eastAsia="方正楷体_GB2312" w:cs="Times New Roman"/>
        </w:rPr>
        <w:t>.2征求成片开发范围内农村集体经济组织和农民的意见</w:t>
      </w:r>
      <w:bookmarkEnd w:id="227"/>
      <w:bookmarkEnd w:id="228"/>
    </w:p>
    <w:p w14:paraId="02823596">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本方案已征求成片开发范围涉及的</w:t>
      </w:r>
      <w:r>
        <w:rPr>
          <w:rFonts w:hint="eastAsia" w:ascii="Times New Roman" w:hAnsi="Times New Roman" w:eastAsia="仿宋" w:cs="Times New Roman"/>
          <w:color w:val="333333"/>
          <w:spacing w:val="8"/>
          <w:sz w:val="32"/>
          <w:szCs w:val="32"/>
          <w:lang w:val="en-US" w:eastAsia="zh-CN"/>
        </w:rPr>
        <w:t>银丰村、永平村2</w:t>
      </w:r>
      <w:r>
        <w:rPr>
          <w:rFonts w:hint="default" w:ascii="Times New Roman" w:hAnsi="Times New Roman" w:eastAsia="仿宋" w:cs="Times New Roman"/>
          <w:color w:val="333333"/>
          <w:spacing w:val="8"/>
          <w:sz w:val="32"/>
          <w:szCs w:val="32"/>
          <w:lang w:eastAsia="zh-CN"/>
        </w:rPr>
        <w:t>个村集体经济组织和村民的意见，占成片开发范围内村民三分之二以上；本次成片开发均达到三分之二以上村民（或村民代表）同意。</w:t>
      </w:r>
    </w:p>
    <w:p w14:paraId="44196389">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p>
    <w:p w14:paraId="71BEB502">
      <w:pPr>
        <w:pStyle w:val="18"/>
        <w:ind w:firstLine="296"/>
        <w:rPr>
          <w:rFonts w:hint="default" w:ascii="Times New Roman" w:hAnsi="Times New Roman" w:eastAsia="宋体" w:cs="Times New Roman"/>
          <w:color w:val="333333"/>
          <w:spacing w:val="8"/>
          <w:sz w:val="28"/>
          <w:szCs w:val="28"/>
          <w:highlight w:val="yellow"/>
        </w:rPr>
      </w:pPr>
    </w:p>
    <w:p w14:paraId="72E4B69D">
      <w:pPr>
        <w:pStyle w:val="18"/>
        <w:ind w:firstLine="296"/>
        <w:rPr>
          <w:rFonts w:hint="default" w:ascii="Times New Roman" w:hAnsi="Times New Roman" w:eastAsia="宋体" w:cs="Times New Roman"/>
          <w:color w:val="333333"/>
          <w:spacing w:val="8"/>
          <w:sz w:val="28"/>
          <w:szCs w:val="28"/>
          <w:highlight w:val="yellow"/>
        </w:rPr>
      </w:pPr>
    </w:p>
    <w:p w14:paraId="3DE4B5D5">
      <w:pPr>
        <w:pStyle w:val="18"/>
        <w:ind w:firstLine="296"/>
        <w:rPr>
          <w:rFonts w:hint="default" w:ascii="Times New Roman" w:hAnsi="Times New Roman" w:eastAsia="宋体" w:cs="Times New Roman"/>
          <w:color w:val="333333"/>
          <w:spacing w:val="8"/>
          <w:sz w:val="28"/>
          <w:szCs w:val="28"/>
          <w:highlight w:val="yellow"/>
        </w:rPr>
      </w:pPr>
    </w:p>
    <w:p w14:paraId="130186DC">
      <w:pPr>
        <w:pStyle w:val="18"/>
        <w:ind w:firstLine="296"/>
        <w:rPr>
          <w:rFonts w:hint="default" w:ascii="Times New Roman" w:hAnsi="Times New Roman" w:eastAsia="宋体" w:cs="Times New Roman"/>
          <w:color w:val="333333"/>
          <w:spacing w:val="8"/>
          <w:sz w:val="28"/>
          <w:szCs w:val="28"/>
          <w:highlight w:val="yellow"/>
        </w:rPr>
      </w:pPr>
    </w:p>
    <w:p w14:paraId="32387BC0">
      <w:pPr>
        <w:pStyle w:val="18"/>
        <w:ind w:firstLine="296"/>
        <w:rPr>
          <w:rFonts w:hint="default" w:ascii="Times New Roman" w:hAnsi="Times New Roman" w:eastAsia="宋体" w:cs="Times New Roman"/>
          <w:color w:val="333333"/>
          <w:spacing w:val="8"/>
          <w:sz w:val="28"/>
          <w:szCs w:val="28"/>
          <w:highlight w:val="yellow"/>
        </w:rPr>
      </w:pPr>
    </w:p>
    <w:p w14:paraId="03782838">
      <w:pPr>
        <w:pStyle w:val="2"/>
        <w:rPr>
          <w:rFonts w:hint="default" w:ascii="Times New Roman" w:hAnsi="Times New Roman" w:cs="Times New Roman"/>
        </w:rPr>
        <w:sectPr>
          <w:pgSz w:w="11906" w:h="16838"/>
          <w:pgMar w:top="1440" w:right="1587" w:bottom="1440" w:left="1587" w:header="851" w:footer="992" w:gutter="0"/>
          <w:pgBorders>
            <w:top w:val="none" w:sz="0" w:space="0"/>
            <w:left w:val="none" w:sz="0" w:space="0"/>
            <w:bottom w:val="none" w:sz="0" w:space="0"/>
            <w:right w:val="none" w:sz="0" w:space="0"/>
          </w:pgBorders>
          <w:cols w:space="0" w:num="1"/>
          <w:rtlGutter w:val="0"/>
          <w:docGrid w:type="lines" w:linePitch="323" w:charSpace="0"/>
        </w:sectPr>
      </w:pPr>
    </w:p>
    <w:p w14:paraId="748DF539">
      <w:pPr>
        <w:pStyle w:val="2"/>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黑体" w:cs="Times New Roman"/>
          <w:sz w:val="32"/>
          <w:szCs w:val="32"/>
        </w:rPr>
      </w:pPr>
      <w:bookmarkStart w:id="229" w:name="_Toc21556"/>
      <w:bookmarkStart w:id="230" w:name="_Toc14476"/>
      <w:r>
        <w:rPr>
          <w:rFonts w:hint="default" w:ascii="Times New Roman" w:hAnsi="Times New Roman" w:eastAsia="黑体" w:cs="Times New Roman"/>
          <w:sz w:val="32"/>
          <w:szCs w:val="32"/>
          <w:lang w:eastAsia="zh-CN"/>
        </w:rPr>
        <w:t>1</w:t>
      </w:r>
      <w:r>
        <w:rPr>
          <w:rFonts w:hint="default" w:ascii="Times New Roman" w:hAnsi="Times New Roman" w:eastAsia="黑体" w:cs="Times New Roman"/>
          <w:sz w:val="32"/>
          <w:szCs w:val="32"/>
          <w:lang w:val="en-US" w:eastAsia="zh-CN"/>
        </w:rPr>
        <w:t>5</w:t>
      </w:r>
      <w:r>
        <w:rPr>
          <w:rFonts w:hint="default" w:ascii="Times New Roman" w:hAnsi="Times New Roman" w:eastAsia="黑体" w:cs="Times New Roman"/>
          <w:sz w:val="32"/>
          <w:szCs w:val="32"/>
        </w:rPr>
        <w:t>.成片开发项目风险分析</w:t>
      </w:r>
      <w:bookmarkEnd w:id="229"/>
      <w:bookmarkEnd w:id="230"/>
    </w:p>
    <w:p w14:paraId="79E18A38">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231" w:name="_Toc9759"/>
      <w:bookmarkStart w:id="232" w:name="_Toc28582"/>
      <w:r>
        <w:rPr>
          <w:rFonts w:hint="default" w:ascii="Times New Roman" w:hAnsi="Times New Roman" w:eastAsia="方正楷体_GB2312" w:cs="Times New Roman"/>
          <w:lang w:eastAsia="zh-CN"/>
        </w:rPr>
        <w:t>1</w:t>
      </w:r>
      <w:r>
        <w:rPr>
          <w:rFonts w:hint="default" w:ascii="Times New Roman" w:hAnsi="Times New Roman" w:eastAsia="方正楷体_GB2312" w:cs="Times New Roman"/>
          <w:lang w:val="en-US" w:eastAsia="zh-CN"/>
        </w:rPr>
        <w:t>5</w:t>
      </w:r>
      <w:r>
        <w:rPr>
          <w:rFonts w:hint="default" w:ascii="Times New Roman" w:hAnsi="Times New Roman" w:eastAsia="方正楷体_GB2312" w:cs="Times New Roman"/>
        </w:rPr>
        <w:t>.1政策风险</w:t>
      </w:r>
      <w:bookmarkEnd w:id="231"/>
      <w:bookmarkEnd w:id="232"/>
    </w:p>
    <w:p w14:paraId="36BF0ECC">
      <w:pPr>
        <w:pStyle w:val="37"/>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233" w:name="_Toc23698"/>
      <w:bookmarkStart w:id="234" w:name="_Toc29598"/>
      <w:r>
        <w:rPr>
          <w:rFonts w:hint="default" w:ascii="Times New Roman" w:hAnsi="Times New Roman" w:eastAsia="方正仿宋_GB18030" w:cs="Times New Roman"/>
          <w:sz w:val="32"/>
          <w:szCs w:val="32"/>
          <w:lang w:val="en-US" w:eastAsia="zh-CN"/>
        </w:rPr>
        <w:t>15.1.1国家政策</w:t>
      </w:r>
      <w:bookmarkEnd w:id="233"/>
      <w:bookmarkEnd w:id="234"/>
    </w:p>
    <w:p w14:paraId="69F6E1C7">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从我国土地法，以及近期出台的土地成片开发标准来看，国内土地政策法规多年来，持续稳定，逐步发展，保障了我国基本的耕地安全，在稳定国民经济，保证经济持续发展方面作用巨大。随着深化改革，我国土地政策的变化将直接影响征地项目的开发。目前，国家陆续出台的一系列土地政策，仍是在保证耕地红线的基础上，逐步扩大适应市场经济需求，激活农村集体所有土地以及农民宅基地的流转机制，在土地成片开发方面属于利好。</w:t>
      </w:r>
    </w:p>
    <w:p w14:paraId="52D6F4AA">
      <w:pPr>
        <w:pStyle w:val="37"/>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235" w:name="_Toc26916"/>
      <w:bookmarkStart w:id="236" w:name="_Toc28094"/>
      <w:r>
        <w:rPr>
          <w:rFonts w:hint="default" w:ascii="Times New Roman" w:hAnsi="Times New Roman" w:eastAsia="方正仿宋_GB18030" w:cs="Times New Roman"/>
          <w:sz w:val="32"/>
          <w:szCs w:val="32"/>
          <w:lang w:val="en-US" w:eastAsia="zh-CN"/>
        </w:rPr>
        <w:t>15.1.2地方政策</w:t>
      </w:r>
      <w:bookmarkEnd w:id="235"/>
      <w:bookmarkEnd w:id="236"/>
    </w:p>
    <w:p w14:paraId="21A402C6">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黑龙江经济发展相对于国内发达地区有较大的差距，但是在土地资源方面有着天然的优势。地区的土地资源较为丰富，耕地保护有优势，项目所涉及的片区，不占用永久基本农田，不存在政策风险，符合地方的产业发展政策方向。</w:t>
      </w:r>
    </w:p>
    <w:p w14:paraId="42878231">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总体看项目政策风险可忽略影响。</w:t>
      </w:r>
    </w:p>
    <w:p w14:paraId="4D12E411">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237" w:name="_Toc4728"/>
      <w:bookmarkStart w:id="238" w:name="_Toc27487"/>
      <w:r>
        <w:rPr>
          <w:rFonts w:hint="default" w:ascii="Times New Roman" w:hAnsi="Times New Roman" w:eastAsia="方正楷体_GB2312" w:cs="Times New Roman"/>
          <w:lang w:eastAsia="zh-CN"/>
        </w:rPr>
        <w:t>1</w:t>
      </w:r>
      <w:r>
        <w:rPr>
          <w:rFonts w:hint="default" w:ascii="Times New Roman" w:hAnsi="Times New Roman" w:eastAsia="方正楷体_GB2312" w:cs="Times New Roman"/>
          <w:lang w:val="en-US" w:eastAsia="zh-CN"/>
        </w:rPr>
        <w:t>5</w:t>
      </w:r>
      <w:r>
        <w:rPr>
          <w:rFonts w:hint="default" w:ascii="Times New Roman" w:hAnsi="Times New Roman" w:eastAsia="方正楷体_GB2312" w:cs="Times New Roman"/>
        </w:rPr>
        <w:t>.2金融风险</w:t>
      </w:r>
      <w:bookmarkEnd w:id="237"/>
      <w:bookmarkEnd w:id="238"/>
    </w:p>
    <w:p w14:paraId="49E22343">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成片开发区内项目总投资的规模比较大，项目开发过程中，资金的陆续投放可以缓解金融压力，但是依然需要良好的开发运营策略，有效控制金融风险。一方面需要开发方的雄厚资金实力，另一方面也需要项目开发运营的具体思路和做法正确。项目开发的前期项目资金回收速度和力度将成为关键，目前看，在项目相关地产项目上资金回收能力非常好，已经受到区域消费者的欢迎。成片开发项目受到省政府市政府的全力支持，地方金融机构对项目进行了充分的评估，认可项目，将与项目开发方形成战略合作，项目融资渠道畅通。总体看项目金融风险可忽略影响。</w:t>
      </w:r>
    </w:p>
    <w:p w14:paraId="09BD260E">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239" w:name="_Toc15214"/>
      <w:bookmarkStart w:id="240" w:name="_Toc1480"/>
      <w:r>
        <w:rPr>
          <w:rFonts w:hint="default" w:ascii="Times New Roman" w:hAnsi="Times New Roman" w:eastAsia="方正楷体_GB2312" w:cs="Times New Roman"/>
          <w:lang w:eastAsia="zh-CN"/>
        </w:rPr>
        <w:t>1</w:t>
      </w:r>
      <w:r>
        <w:rPr>
          <w:rFonts w:hint="default" w:ascii="Times New Roman" w:hAnsi="Times New Roman" w:eastAsia="方正楷体_GB2312" w:cs="Times New Roman"/>
          <w:lang w:val="en-US" w:eastAsia="zh-CN"/>
        </w:rPr>
        <w:t>5</w:t>
      </w:r>
      <w:r>
        <w:rPr>
          <w:rFonts w:hint="default" w:ascii="Times New Roman" w:hAnsi="Times New Roman" w:eastAsia="方正楷体_GB2312" w:cs="Times New Roman"/>
        </w:rPr>
        <w:t>.3开发风险</w:t>
      </w:r>
      <w:bookmarkEnd w:id="239"/>
      <w:bookmarkEnd w:id="240"/>
    </w:p>
    <w:p w14:paraId="5C646566">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0"/>
          <w:szCs w:val="30"/>
          <w:lang w:eastAsia="zh-CN"/>
        </w:rPr>
        <w:t>成片开发项目建设涉及区域土地征收，征地涉及农民切身利益</w:t>
      </w:r>
      <w:r>
        <w:rPr>
          <w:rFonts w:hint="default" w:ascii="Times New Roman" w:hAnsi="Times New Roman" w:eastAsia="仿宋" w:cs="Times New Roman"/>
          <w:color w:val="333333"/>
          <w:spacing w:val="8"/>
          <w:sz w:val="32"/>
          <w:szCs w:val="32"/>
          <w:lang w:eastAsia="zh-CN"/>
        </w:rPr>
        <w:t>，征地补偿是被征地农民最敏感、最担忧的问题，分配补偿费不当，补偿费不能按时到账等都可能诱发社会稳定风险。要充分考虑，合理处理，避免项目开发征地补偿安置风险。项目开发后，安置时如只采用货币安置方式，在短期内使居民生活可以维继，但从长期来看弱化了居民的持续生存能力，被征地农民失去了可以维系其生活的土地后，无其他生活工作技能，从长期来看可能无法保障自己的基本生活需求，对民生较为不利。对此，</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政府根据《黑龙江省被征地农民养老保险暂行办法》（黑劳社发[2008]64号）、《关于做好提高城乡低保和特困人员救助供养标准有关工作的通知》（黑民规[2020]10号）等文件要求，征地时将社保资金预存到社保局的账户里，待批后实施时，将社保资金按标准逐月落实到失地农民，使失地农民长远生活有保障，生活水平不降低，总体看项目开发风险较小影响。</w:t>
      </w:r>
    </w:p>
    <w:p w14:paraId="09F894AB">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241" w:name="_Toc18894"/>
      <w:bookmarkStart w:id="242" w:name="_Toc18539"/>
      <w:r>
        <w:rPr>
          <w:rFonts w:hint="default" w:ascii="Times New Roman" w:hAnsi="Times New Roman" w:eastAsia="方正楷体_GB2312" w:cs="Times New Roman"/>
          <w:lang w:eastAsia="zh-CN"/>
        </w:rPr>
        <w:t>1</w:t>
      </w:r>
      <w:r>
        <w:rPr>
          <w:rFonts w:hint="default" w:ascii="Times New Roman" w:hAnsi="Times New Roman" w:eastAsia="方正楷体_GB2312" w:cs="Times New Roman"/>
          <w:lang w:val="en-US" w:eastAsia="zh-CN"/>
        </w:rPr>
        <w:t>5</w:t>
      </w:r>
      <w:r>
        <w:rPr>
          <w:rFonts w:hint="default" w:ascii="Times New Roman" w:hAnsi="Times New Roman" w:eastAsia="方正楷体_GB2312" w:cs="Times New Roman"/>
        </w:rPr>
        <w:t>.4其他风险</w:t>
      </w:r>
      <w:bookmarkEnd w:id="241"/>
      <w:bookmarkEnd w:id="242"/>
    </w:p>
    <w:p w14:paraId="4A627130">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成片开发项目建设过程中，部分的征地拆迁，有可能会影响生态环境，在天然水系，原有的防风保护林带、绿化景观以及原有的道路体系、灌溉系统都会有影响。在建设期内，有关监管部门，加大监管力度，严格控制项目施工对地面、水、空气、噪声环境等方面产生的不利影响，对生态严格保护，对道路体系、灌溉系统和绿化景观严格要求，按照规划复建或新建，确保区域内以及相关区域的生产生活不受影响。总体看项目其他风险可忽略影响。详见下表：</w:t>
      </w:r>
    </w:p>
    <w:p w14:paraId="25B67E66">
      <w:pPr>
        <w:ind w:firstLine="672"/>
        <w:jc w:val="center"/>
        <w:rPr>
          <w:rFonts w:hint="default" w:ascii="Times New Roman" w:hAnsi="Times New Roman" w:eastAsia="黑体" w:cs="Times New Roman"/>
          <w:b/>
          <w:bCs/>
          <w:color w:val="333333"/>
          <w:spacing w:val="8"/>
          <w:szCs w:val="21"/>
          <w:lang w:eastAsia="zh-CN"/>
        </w:rPr>
      </w:pPr>
      <w:r>
        <w:rPr>
          <w:rFonts w:hint="default" w:ascii="Times New Roman" w:hAnsi="Times New Roman" w:eastAsia="黑体" w:cs="Times New Roman"/>
          <w:b/>
          <w:bCs/>
          <w:color w:val="333333"/>
          <w:spacing w:val="8"/>
          <w:szCs w:val="21"/>
          <w:lang w:eastAsia="zh-CN"/>
        </w:rPr>
        <w:t>表</w:t>
      </w:r>
      <w:r>
        <w:rPr>
          <w:rFonts w:hint="default" w:ascii="Times New Roman" w:hAnsi="Times New Roman" w:eastAsia="黑体" w:cs="Times New Roman"/>
          <w:b/>
          <w:bCs/>
          <w:color w:val="333333"/>
          <w:spacing w:val="8"/>
          <w:szCs w:val="21"/>
          <w:lang w:val="en-US" w:eastAsia="zh-CN"/>
        </w:rPr>
        <w:t xml:space="preserve">14-1 </w:t>
      </w:r>
      <w:r>
        <w:rPr>
          <w:rFonts w:hint="default" w:ascii="Times New Roman" w:hAnsi="Times New Roman" w:eastAsia="黑体" w:cs="Times New Roman"/>
          <w:b/>
          <w:bCs/>
          <w:color w:val="333333"/>
          <w:spacing w:val="8"/>
          <w:szCs w:val="21"/>
        </w:rPr>
        <w:t>成片开发项目风险分析</w:t>
      </w:r>
      <w:r>
        <w:rPr>
          <w:rFonts w:hint="default" w:ascii="Times New Roman" w:hAnsi="Times New Roman" w:eastAsia="黑体" w:cs="Times New Roman"/>
          <w:b/>
          <w:bCs/>
          <w:color w:val="333333"/>
          <w:spacing w:val="8"/>
          <w:szCs w:val="21"/>
          <w:lang w:eastAsia="zh-CN"/>
        </w:rPr>
        <w:t>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14:paraId="30228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02FEED5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r>
              <w:rPr>
                <w:rFonts w:hint="default" w:ascii="Times New Roman" w:hAnsi="Times New Roman" w:eastAsia="仿宋" w:cs="Times New Roman"/>
                <w:color w:val="000000"/>
                <w:kern w:val="0"/>
                <w:sz w:val="20"/>
                <w:szCs w:val="20"/>
                <w:lang w:val="en-US" w:eastAsia="zh-CN" w:bidi="ar"/>
              </w:rPr>
              <w:t>风险类型</w:t>
            </w:r>
          </w:p>
        </w:tc>
        <w:tc>
          <w:tcPr>
            <w:tcW w:w="7102" w:type="dxa"/>
            <w:gridSpan w:val="5"/>
            <w:vAlign w:val="center"/>
          </w:tcPr>
          <w:p w14:paraId="2D80582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r>
              <w:rPr>
                <w:rFonts w:hint="default" w:ascii="Times New Roman" w:hAnsi="Times New Roman" w:eastAsia="仿宋" w:cs="Times New Roman"/>
                <w:color w:val="000000"/>
                <w:kern w:val="0"/>
                <w:sz w:val="20"/>
                <w:szCs w:val="20"/>
                <w:lang w:val="en-US" w:eastAsia="zh-CN" w:bidi="ar"/>
              </w:rPr>
              <w:t>风险程度</w:t>
            </w:r>
          </w:p>
        </w:tc>
      </w:tr>
      <w:tr w14:paraId="0628A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51607F2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p>
        </w:tc>
        <w:tc>
          <w:tcPr>
            <w:tcW w:w="1420" w:type="dxa"/>
            <w:vAlign w:val="center"/>
          </w:tcPr>
          <w:p w14:paraId="262A0FF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r>
              <w:rPr>
                <w:rFonts w:hint="default" w:ascii="Times New Roman" w:hAnsi="Times New Roman" w:eastAsia="仿宋" w:cs="Times New Roman"/>
                <w:color w:val="000000"/>
                <w:kern w:val="0"/>
                <w:sz w:val="20"/>
                <w:szCs w:val="20"/>
                <w:lang w:val="en-US" w:eastAsia="zh-CN" w:bidi="ar"/>
              </w:rPr>
              <w:t>严重影响</w:t>
            </w:r>
          </w:p>
        </w:tc>
        <w:tc>
          <w:tcPr>
            <w:tcW w:w="1420" w:type="dxa"/>
            <w:vAlign w:val="center"/>
          </w:tcPr>
          <w:p w14:paraId="00243FD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r>
              <w:rPr>
                <w:rFonts w:hint="default" w:ascii="Times New Roman" w:hAnsi="Times New Roman" w:eastAsia="仿宋" w:cs="Times New Roman"/>
                <w:color w:val="000000"/>
                <w:kern w:val="0"/>
                <w:sz w:val="20"/>
                <w:szCs w:val="20"/>
                <w:lang w:val="en-US" w:eastAsia="zh-CN" w:bidi="ar"/>
              </w:rPr>
              <w:t>较大影响</w:t>
            </w:r>
          </w:p>
        </w:tc>
        <w:tc>
          <w:tcPr>
            <w:tcW w:w="1420" w:type="dxa"/>
            <w:vAlign w:val="center"/>
          </w:tcPr>
          <w:p w14:paraId="7778B1F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r>
              <w:rPr>
                <w:rFonts w:hint="default" w:ascii="Times New Roman" w:hAnsi="Times New Roman" w:eastAsia="仿宋" w:cs="Times New Roman"/>
                <w:color w:val="000000"/>
                <w:kern w:val="0"/>
                <w:sz w:val="20"/>
                <w:szCs w:val="20"/>
                <w:lang w:val="en-US" w:eastAsia="zh-CN" w:bidi="ar"/>
              </w:rPr>
              <w:t>中等影响</w:t>
            </w:r>
          </w:p>
        </w:tc>
        <w:tc>
          <w:tcPr>
            <w:tcW w:w="1421" w:type="dxa"/>
            <w:vAlign w:val="center"/>
          </w:tcPr>
          <w:p w14:paraId="0B3FE12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r>
              <w:rPr>
                <w:rFonts w:hint="default" w:ascii="Times New Roman" w:hAnsi="Times New Roman" w:eastAsia="仿宋" w:cs="Times New Roman"/>
                <w:color w:val="000000"/>
                <w:kern w:val="0"/>
                <w:sz w:val="20"/>
                <w:szCs w:val="20"/>
                <w:lang w:val="en-US" w:eastAsia="zh-CN" w:bidi="ar"/>
              </w:rPr>
              <w:t>较小影响</w:t>
            </w:r>
          </w:p>
        </w:tc>
        <w:tc>
          <w:tcPr>
            <w:tcW w:w="1421" w:type="dxa"/>
            <w:vAlign w:val="center"/>
          </w:tcPr>
          <w:p w14:paraId="6F68303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r>
              <w:rPr>
                <w:rFonts w:hint="default" w:ascii="Times New Roman" w:hAnsi="Times New Roman" w:eastAsia="仿宋" w:cs="Times New Roman"/>
                <w:color w:val="000000"/>
                <w:kern w:val="0"/>
                <w:sz w:val="20"/>
                <w:szCs w:val="20"/>
                <w:lang w:val="en-US" w:eastAsia="zh-CN" w:bidi="ar"/>
              </w:rPr>
              <w:t>可忽略影响</w:t>
            </w:r>
          </w:p>
        </w:tc>
      </w:tr>
      <w:tr w14:paraId="0C839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2792187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r>
              <w:rPr>
                <w:rFonts w:hint="default" w:ascii="Times New Roman" w:hAnsi="Times New Roman" w:eastAsia="仿宋" w:cs="Times New Roman"/>
                <w:color w:val="000000"/>
                <w:kern w:val="0"/>
                <w:sz w:val="20"/>
                <w:szCs w:val="20"/>
                <w:lang w:val="en-US" w:eastAsia="zh-CN" w:bidi="ar"/>
              </w:rPr>
              <w:t>政策风险</w:t>
            </w:r>
          </w:p>
        </w:tc>
        <w:tc>
          <w:tcPr>
            <w:tcW w:w="1420" w:type="dxa"/>
            <w:vAlign w:val="center"/>
          </w:tcPr>
          <w:p w14:paraId="45B7ECD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p>
        </w:tc>
        <w:tc>
          <w:tcPr>
            <w:tcW w:w="1420" w:type="dxa"/>
            <w:vAlign w:val="center"/>
          </w:tcPr>
          <w:p w14:paraId="53416CD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p>
        </w:tc>
        <w:tc>
          <w:tcPr>
            <w:tcW w:w="1420" w:type="dxa"/>
            <w:vAlign w:val="center"/>
          </w:tcPr>
          <w:p w14:paraId="3584FCB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p>
        </w:tc>
        <w:tc>
          <w:tcPr>
            <w:tcW w:w="1421" w:type="dxa"/>
            <w:vAlign w:val="center"/>
          </w:tcPr>
          <w:p w14:paraId="64CBDE8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p>
        </w:tc>
        <w:tc>
          <w:tcPr>
            <w:tcW w:w="1421" w:type="dxa"/>
            <w:vAlign w:val="center"/>
          </w:tcPr>
          <w:p w14:paraId="08C74CA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r>
              <w:rPr>
                <w:rFonts w:hint="default" w:ascii="Times New Roman" w:hAnsi="Times New Roman" w:eastAsia="仿宋" w:cs="Times New Roman"/>
                <w:color w:val="000000"/>
                <w:kern w:val="0"/>
                <w:sz w:val="20"/>
                <w:szCs w:val="20"/>
                <w:lang w:val="en-US" w:eastAsia="zh-CN" w:bidi="ar"/>
              </w:rPr>
              <w:t>√</w:t>
            </w:r>
          </w:p>
        </w:tc>
      </w:tr>
      <w:tr w14:paraId="7F8E8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1C42269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r>
              <w:rPr>
                <w:rFonts w:hint="default" w:ascii="Times New Roman" w:hAnsi="Times New Roman" w:eastAsia="仿宋" w:cs="Times New Roman"/>
                <w:color w:val="000000"/>
                <w:kern w:val="0"/>
                <w:sz w:val="20"/>
                <w:szCs w:val="20"/>
                <w:lang w:val="en-US" w:eastAsia="zh-CN" w:bidi="ar"/>
              </w:rPr>
              <w:t>金融风险</w:t>
            </w:r>
          </w:p>
        </w:tc>
        <w:tc>
          <w:tcPr>
            <w:tcW w:w="1420" w:type="dxa"/>
            <w:vAlign w:val="center"/>
          </w:tcPr>
          <w:p w14:paraId="5FAD98C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p>
        </w:tc>
        <w:tc>
          <w:tcPr>
            <w:tcW w:w="1420" w:type="dxa"/>
            <w:vAlign w:val="center"/>
          </w:tcPr>
          <w:p w14:paraId="2A597D4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p>
        </w:tc>
        <w:tc>
          <w:tcPr>
            <w:tcW w:w="1420" w:type="dxa"/>
            <w:vAlign w:val="center"/>
          </w:tcPr>
          <w:p w14:paraId="12B63D9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p>
        </w:tc>
        <w:tc>
          <w:tcPr>
            <w:tcW w:w="1421" w:type="dxa"/>
            <w:vAlign w:val="center"/>
          </w:tcPr>
          <w:p w14:paraId="57C4F5C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p>
        </w:tc>
        <w:tc>
          <w:tcPr>
            <w:tcW w:w="1421" w:type="dxa"/>
            <w:vAlign w:val="center"/>
          </w:tcPr>
          <w:p w14:paraId="6CA8F7A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r>
              <w:rPr>
                <w:rFonts w:hint="default" w:ascii="Times New Roman" w:hAnsi="Times New Roman" w:eastAsia="仿宋" w:cs="Times New Roman"/>
                <w:color w:val="000000"/>
                <w:kern w:val="0"/>
                <w:sz w:val="20"/>
                <w:szCs w:val="20"/>
                <w:lang w:val="en-US" w:eastAsia="zh-CN" w:bidi="ar"/>
              </w:rPr>
              <w:t>√</w:t>
            </w:r>
          </w:p>
        </w:tc>
      </w:tr>
      <w:tr w14:paraId="59242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7949369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r>
              <w:rPr>
                <w:rFonts w:hint="default" w:ascii="Times New Roman" w:hAnsi="Times New Roman" w:eastAsia="仿宋" w:cs="Times New Roman"/>
                <w:color w:val="000000"/>
                <w:kern w:val="0"/>
                <w:sz w:val="20"/>
                <w:szCs w:val="20"/>
                <w:lang w:val="en-US" w:eastAsia="zh-CN" w:bidi="ar"/>
              </w:rPr>
              <w:t>开发风险</w:t>
            </w:r>
          </w:p>
        </w:tc>
        <w:tc>
          <w:tcPr>
            <w:tcW w:w="1420" w:type="dxa"/>
            <w:vAlign w:val="center"/>
          </w:tcPr>
          <w:p w14:paraId="10798C0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p>
        </w:tc>
        <w:tc>
          <w:tcPr>
            <w:tcW w:w="1420" w:type="dxa"/>
            <w:vAlign w:val="center"/>
          </w:tcPr>
          <w:p w14:paraId="2AB429F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p>
        </w:tc>
        <w:tc>
          <w:tcPr>
            <w:tcW w:w="1420" w:type="dxa"/>
            <w:vAlign w:val="center"/>
          </w:tcPr>
          <w:p w14:paraId="7941D49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p>
        </w:tc>
        <w:tc>
          <w:tcPr>
            <w:tcW w:w="1421" w:type="dxa"/>
            <w:vAlign w:val="center"/>
          </w:tcPr>
          <w:p w14:paraId="07CD0B1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r>
              <w:rPr>
                <w:rFonts w:hint="default" w:ascii="Times New Roman" w:hAnsi="Times New Roman" w:eastAsia="仿宋" w:cs="Times New Roman"/>
                <w:color w:val="000000"/>
                <w:kern w:val="0"/>
                <w:sz w:val="20"/>
                <w:szCs w:val="20"/>
                <w:lang w:val="en-US" w:eastAsia="zh-CN" w:bidi="ar"/>
              </w:rPr>
              <w:t>√</w:t>
            </w:r>
          </w:p>
        </w:tc>
        <w:tc>
          <w:tcPr>
            <w:tcW w:w="1421" w:type="dxa"/>
            <w:vAlign w:val="center"/>
          </w:tcPr>
          <w:p w14:paraId="5025448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p>
        </w:tc>
      </w:tr>
      <w:tr w14:paraId="6368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6187E4E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r>
              <w:rPr>
                <w:rFonts w:hint="default" w:ascii="Times New Roman" w:hAnsi="Times New Roman" w:eastAsia="仿宋" w:cs="Times New Roman"/>
                <w:color w:val="000000"/>
                <w:kern w:val="0"/>
                <w:sz w:val="20"/>
                <w:szCs w:val="20"/>
                <w:lang w:val="en-US" w:eastAsia="zh-CN" w:bidi="ar"/>
              </w:rPr>
              <w:t>其他风险</w:t>
            </w:r>
          </w:p>
        </w:tc>
        <w:tc>
          <w:tcPr>
            <w:tcW w:w="1420" w:type="dxa"/>
            <w:vAlign w:val="center"/>
          </w:tcPr>
          <w:p w14:paraId="2B483D0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p>
        </w:tc>
        <w:tc>
          <w:tcPr>
            <w:tcW w:w="1420" w:type="dxa"/>
            <w:vAlign w:val="center"/>
          </w:tcPr>
          <w:p w14:paraId="2E98F00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p>
        </w:tc>
        <w:tc>
          <w:tcPr>
            <w:tcW w:w="1420" w:type="dxa"/>
            <w:vAlign w:val="center"/>
          </w:tcPr>
          <w:p w14:paraId="2E42432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p>
        </w:tc>
        <w:tc>
          <w:tcPr>
            <w:tcW w:w="1421" w:type="dxa"/>
            <w:vAlign w:val="center"/>
          </w:tcPr>
          <w:p w14:paraId="3918C8C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p>
        </w:tc>
        <w:tc>
          <w:tcPr>
            <w:tcW w:w="1421" w:type="dxa"/>
            <w:vAlign w:val="center"/>
          </w:tcPr>
          <w:p w14:paraId="0F2F45B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000000"/>
                <w:kern w:val="0"/>
                <w:sz w:val="20"/>
                <w:szCs w:val="20"/>
                <w:lang w:val="en-US" w:eastAsia="zh-CN" w:bidi="ar"/>
              </w:rPr>
            </w:pPr>
            <w:r>
              <w:rPr>
                <w:rFonts w:hint="default" w:ascii="Times New Roman" w:hAnsi="Times New Roman" w:eastAsia="仿宋" w:cs="Times New Roman"/>
                <w:color w:val="000000"/>
                <w:kern w:val="0"/>
                <w:sz w:val="20"/>
                <w:szCs w:val="20"/>
                <w:lang w:val="en-US" w:eastAsia="zh-CN" w:bidi="ar"/>
              </w:rPr>
              <w:t>√</w:t>
            </w:r>
          </w:p>
        </w:tc>
      </w:tr>
    </w:tbl>
    <w:p w14:paraId="07D04E6C">
      <w:pPr>
        <w:pStyle w:val="18"/>
        <w:ind w:left="0" w:leftChars="0" w:firstLine="0" w:firstLineChars="0"/>
        <w:rPr>
          <w:rFonts w:hint="default" w:ascii="Times New Roman" w:hAnsi="Times New Roman" w:eastAsia="宋体" w:cs="Times New Roman"/>
          <w:color w:val="333333"/>
          <w:spacing w:val="8"/>
          <w:sz w:val="28"/>
          <w:szCs w:val="28"/>
        </w:rPr>
      </w:pPr>
    </w:p>
    <w:p w14:paraId="6EB6A9DD">
      <w:pPr>
        <w:rPr>
          <w:rFonts w:hint="default" w:ascii="Times New Roman" w:hAnsi="Times New Roman" w:cs="Times New Roman"/>
          <w:lang w:eastAsia="zh-CN"/>
        </w:rPr>
      </w:pPr>
      <w:r>
        <w:rPr>
          <w:rFonts w:hint="default" w:ascii="Times New Roman" w:hAnsi="Times New Roman" w:cs="Times New Roman"/>
          <w:lang w:eastAsia="zh-CN"/>
        </w:rPr>
        <w:br w:type="page"/>
      </w:r>
    </w:p>
    <w:p w14:paraId="2C02C436">
      <w:pPr>
        <w:pStyle w:val="2"/>
        <w:pageBreakBefore w:val="0"/>
        <w:widowControl w:val="0"/>
        <w:kinsoku/>
        <w:wordWrap/>
        <w:overflowPunct/>
        <w:topLinePunct w:val="0"/>
        <w:autoSpaceDE/>
        <w:autoSpaceDN/>
        <w:bidi w:val="0"/>
        <w:snapToGrid/>
        <w:spacing w:before="0" w:after="0" w:line="560" w:lineRule="exact"/>
        <w:ind w:firstLine="643" w:firstLineChars="200"/>
        <w:textAlignment w:val="auto"/>
        <w:rPr>
          <w:rFonts w:hint="default" w:ascii="Times New Roman" w:hAnsi="Times New Roman" w:eastAsia="黑体" w:cs="Times New Roman"/>
          <w:sz w:val="32"/>
          <w:szCs w:val="32"/>
        </w:rPr>
      </w:pPr>
      <w:bookmarkStart w:id="243" w:name="_Toc11098"/>
      <w:bookmarkStart w:id="244" w:name="_Toc22225"/>
      <w:r>
        <w:rPr>
          <w:rFonts w:hint="default" w:ascii="Times New Roman" w:hAnsi="Times New Roman" w:eastAsia="黑体" w:cs="Times New Roman"/>
          <w:sz w:val="32"/>
          <w:szCs w:val="32"/>
          <w:lang w:eastAsia="zh-CN"/>
        </w:rPr>
        <w:t>1</w:t>
      </w:r>
      <w:r>
        <w:rPr>
          <w:rFonts w:hint="default" w:ascii="Times New Roman" w:hAnsi="Times New Roman" w:eastAsia="黑体" w:cs="Times New Roman"/>
          <w:sz w:val="32"/>
          <w:szCs w:val="32"/>
          <w:lang w:val="en-US" w:eastAsia="zh-CN"/>
        </w:rPr>
        <w:t>6</w:t>
      </w:r>
      <w:r>
        <w:rPr>
          <w:rFonts w:hint="default" w:ascii="Times New Roman" w:hAnsi="Times New Roman" w:eastAsia="黑体" w:cs="Times New Roman"/>
          <w:sz w:val="32"/>
          <w:szCs w:val="32"/>
        </w:rPr>
        <w:t>.成片开发方案的保障措施</w:t>
      </w:r>
      <w:bookmarkEnd w:id="243"/>
      <w:bookmarkEnd w:id="244"/>
    </w:p>
    <w:p w14:paraId="654C2657">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245" w:name="_Toc26029"/>
      <w:bookmarkStart w:id="246" w:name="_Toc8374"/>
      <w:bookmarkStart w:id="247" w:name="_Toc19343"/>
      <w:r>
        <w:rPr>
          <w:rFonts w:hint="default" w:ascii="Times New Roman" w:hAnsi="Times New Roman" w:eastAsia="方正楷体_GB2312" w:cs="Times New Roman"/>
          <w:lang w:eastAsia="zh-CN"/>
        </w:rPr>
        <w:t>1</w:t>
      </w:r>
      <w:r>
        <w:rPr>
          <w:rFonts w:hint="default" w:ascii="Times New Roman" w:hAnsi="Times New Roman" w:eastAsia="方正楷体_GB2312" w:cs="Times New Roman"/>
          <w:lang w:val="en-US" w:eastAsia="zh-CN"/>
        </w:rPr>
        <w:t>6</w:t>
      </w:r>
      <w:r>
        <w:rPr>
          <w:rFonts w:hint="default" w:ascii="Times New Roman" w:hAnsi="Times New Roman" w:eastAsia="方正楷体_GB2312" w:cs="Times New Roman"/>
        </w:rPr>
        <w:t>.1落实被征地群众安置补偿、维护群众利益的措施</w:t>
      </w:r>
      <w:bookmarkEnd w:id="245"/>
      <w:bookmarkEnd w:id="246"/>
      <w:bookmarkEnd w:id="247"/>
    </w:p>
    <w:p w14:paraId="3B3D4377">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土地征收补偿（土地补偿费和安置补助费）按照202</w:t>
      </w:r>
      <w:r>
        <w:rPr>
          <w:rFonts w:hint="default" w:ascii="Times New Roman" w:hAnsi="Times New Roman" w:eastAsia="仿宋" w:cs="Times New Roman"/>
          <w:color w:val="333333"/>
          <w:spacing w:val="8"/>
          <w:sz w:val="32"/>
          <w:szCs w:val="32"/>
          <w:lang w:val="en-US" w:eastAsia="zh-CN"/>
        </w:rPr>
        <w:t>3</w:t>
      </w:r>
      <w:r>
        <w:rPr>
          <w:rFonts w:hint="default" w:ascii="Times New Roman" w:hAnsi="Times New Roman" w:eastAsia="仿宋" w:cs="Times New Roman"/>
          <w:color w:val="333333"/>
          <w:spacing w:val="8"/>
          <w:sz w:val="32"/>
          <w:szCs w:val="32"/>
          <w:lang w:eastAsia="zh-CN"/>
        </w:rPr>
        <w:t>年</w:t>
      </w:r>
      <w:r>
        <w:rPr>
          <w:rFonts w:hint="default" w:ascii="Times New Roman" w:hAnsi="Times New Roman" w:eastAsia="仿宋" w:cs="Times New Roman"/>
          <w:color w:val="333333"/>
          <w:spacing w:val="8"/>
          <w:sz w:val="32"/>
          <w:szCs w:val="32"/>
          <w:lang w:val="en-US" w:eastAsia="zh-CN"/>
        </w:rPr>
        <w:t>10</w:t>
      </w:r>
      <w:r>
        <w:rPr>
          <w:rFonts w:hint="default" w:ascii="Times New Roman" w:hAnsi="Times New Roman" w:eastAsia="仿宋" w:cs="Times New Roman"/>
          <w:color w:val="333333"/>
          <w:spacing w:val="8"/>
          <w:sz w:val="32"/>
          <w:szCs w:val="32"/>
          <w:lang w:eastAsia="zh-CN"/>
        </w:rPr>
        <w:t>月</w:t>
      </w:r>
      <w:r>
        <w:rPr>
          <w:rFonts w:hint="default" w:ascii="Times New Roman" w:hAnsi="Times New Roman" w:eastAsia="仿宋" w:cs="Times New Roman"/>
          <w:color w:val="333333"/>
          <w:spacing w:val="8"/>
          <w:sz w:val="32"/>
          <w:szCs w:val="32"/>
          <w:lang w:val="en-US" w:eastAsia="zh-CN"/>
        </w:rPr>
        <w:t>9</w:t>
      </w:r>
      <w:r>
        <w:rPr>
          <w:rFonts w:hint="default" w:ascii="Times New Roman" w:hAnsi="Times New Roman" w:eastAsia="仿宋" w:cs="Times New Roman"/>
          <w:color w:val="333333"/>
          <w:spacing w:val="8"/>
          <w:sz w:val="32"/>
          <w:szCs w:val="32"/>
          <w:lang w:eastAsia="zh-CN"/>
        </w:rPr>
        <w:t>号发布的《鸡西市人民政府关于调整鸡西市征地区片综合地价的通知》（鸡政规〔2023〕2号）文件执行。</w:t>
      </w:r>
    </w:p>
    <w:p w14:paraId="28E45D73">
      <w:pPr>
        <w:pStyle w:val="37"/>
        <w:pageBreakBefore w:val="0"/>
        <w:widowControl w:val="0"/>
        <w:kinsoku/>
        <w:wordWrap/>
        <w:overflowPunct/>
        <w:topLinePunct w:val="0"/>
        <w:autoSpaceDE/>
        <w:autoSpaceDN/>
        <w:bidi w:val="0"/>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248" w:name="_Toc18968"/>
      <w:bookmarkStart w:id="249" w:name="_Toc3442"/>
      <w:r>
        <w:rPr>
          <w:rFonts w:hint="default" w:ascii="Times New Roman" w:hAnsi="Times New Roman" w:eastAsia="方正仿宋_GB18030" w:cs="Times New Roman"/>
          <w:sz w:val="32"/>
          <w:szCs w:val="32"/>
          <w:lang w:val="en-US" w:eastAsia="zh-CN"/>
        </w:rPr>
        <w:t>16.1.1征地补偿标准</w:t>
      </w:r>
      <w:bookmarkEnd w:id="248"/>
      <w:bookmarkEnd w:id="249"/>
    </w:p>
    <w:p w14:paraId="4F5413D8">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参照《黑龙江省人民政府关于调整完善征地区片综合地价成果的批复》（黑政函〔202</w:t>
      </w:r>
      <w:r>
        <w:rPr>
          <w:rFonts w:hint="default" w:ascii="Times New Roman" w:hAnsi="Times New Roman" w:eastAsia="仿宋" w:cs="Times New Roman"/>
          <w:color w:val="333333"/>
          <w:spacing w:val="8"/>
          <w:sz w:val="32"/>
          <w:szCs w:val="32"/>
          <w:lang w:val="en-US" w:eastAsia="zh-CN"/>
        </w:rPr>
        <w:t>3</w:t>
      </w:r>
      <w:r>
        <w:rPr>
          <w:rFonts w:hint="default" w:ascii="Times New Roman" w:hAnsi="Times New Roman" w:eastAsia="仿宋" w:cs="Times New Roman"/>
          <w:color w:val="333333"/>
          <w:spacing w:val="8"/>
          <w:sz w:val="32"/>
          <w:szCs w:val="32"/>
          <w:lang w:eastAsia="zh-CN"/>
        </w:rPr>
        <w:t>〕</w:t>
      </w:r>
      <w:r>
        <w:rPr>
          <w:rFonts w:hint="default" w:ascii="Times New Roman" w:hAnsi="Times New Roman" w:eastAsia="仿宋" w:cs="Times New Roman"/>
          <w:color w:val="333333"/>
          <w:spacing w:val="8"/>
          <w:sz w:val="32"/>
          <w:szCs w:val="32"/>
          <w:lang w:val="en-US" w:eastAsia="zh-CN"/>
        </w:rPr>
        <w:t>65</w:t>
      </w:r>
      <w:r>
        <w:rPr>
          <w:rFonts w:hint="default" w:ascii="Times New Roman" w:hAnsi="Times New Roman" w:eastAsia="仿宋" w:cs="Times New Roman"/>
          <w:color w:val="333333"/>
          <w:spacing w:val="8"/>
          <w:sz w:val="32"/>
          <w:szCs w:val="32"/>
          <w:lang w:eastAsia="zh-CN"/>
        </w:rPr>
        <w:t>号）文件要求，根据</w:t>
      </w:r>
      <w:r>
        <w:rPr>
          <w:rFonts w:hint="default" w:ascii="Times New Roman" w:hAnsi="Times New Roman" w:eastAsia="仿宋" w:cs="Times New Roman"/>
          <w:color w:val="333333"/>
          <w:spacing w:val="8"/>
          <w:sz w:val="32"/>
          <w:szCs w:val="32"/>
          <w:lang w:val="en-US" w:eastAsia="zh-CN"/>
        </w:rPr>
        <w:t>鸡西市人民</w:t>
      </w:r>
      <w:r>
        <w:rPr>
          <w:rFonts w:hint="default" w:ascii="Times New Roman" w:hAnsi="Times New Roman" w:eastAsia="仿宋" w:cs="Times New Roman"/>
          <w:color w:val="333333"/>
          <w:spacing w:val="8"/>
          <w:sz w:val="32"/>
          <w:szCs w:val="32"/>
          <w:lang w:eastAsia="zh-CN"/>
        </w:rPr>
        <w:t>政府</w:t>
      </w:r>
      <w:r>
        <w:rPr>
          <w:rFonts w:hint="default" w:ascii="Times New Roman" w:hAnsi="Times New Roman" w:eastAsia="仿宋" w:cs="Times New Roman"/>
          <w:color w:val="333333"/>
          <w:spacing w:val="8"/>
          <w:sz w:val="32"/>
          <w:szCs w:val="32"/>
          <w:lang w:val="en-US" w:eastAsia="zh-CN"/>
        </w:rPr>
        <w:t>发布</w:t>
      </w:r>
      <w:r>
        <w:rPr>
          <w:rFonts w:hint="default" w:ascii="Times New Roman" w:hAnsi="Times New Roman" w:eastAsia="仿宋" w:cs="Times New Roman"/>
          <w:color w:val="333333"/>
          <w:spacing w:val="8"/>
          <w:sz w:val="32"/>
          <w:szCs w:val="32"/>
          <w:lang w:eastAsia="zh-CN"/>
        </w:rPr>
        <w:t>的《鸡西市人民政府关于调整鸡西市征地区片综合地价的通知》（鸡政规〔2023〕2号）文件标准执行。对被征地农民进行补偿。通过货币安置、社保安置、搬迁安置相结合的安置方式,妥善解决被征地农民的生产和生活。</w:t>
      </w:r>
    </w:p>
    <w:p w14:paraId="591E878F">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严格落实社会保障措施。</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人民政府计划按照"先保后征"的要求将被征地养老保险金全额缴入当地社保专户, 并由</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人力资源和社会保障局出具被征地农民社会保障落实审核意见。用地批准后,由</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劳动保障部门按有关规定要求将符合条件的被征地农民纳入社会保障体系,可以做到被征地农民原有生活水平不降低,长远生计有保障。</w:t>
      </w:r>
    </w:p>
    <w:p w14:paraId="68F9DDC5">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cols w:space="0" w:num="1"/>
          <w:rtlGutter w:val="0"/>
          <w:docGrid w:type="lines" w:linePitch="323" w:charSpace="0"/>
        </w:sectPr>
      </w:pPr>
    </w:p>
    <w:p w14:paraId="31970446">
      <w:pPr>
        <w:pStyle w:val="37"/>
        <w:pageBreakBefore w:val="0"/>
        <w:widowControl w:val="0"/>
        <w:kinsoku/>
        <w:wordWrap/>
        <w:overflowPunct/>
        <w:topLinePunct w:val="0"/>
        <w:autoSpaceDE/>
        <w:autoSpaceDN/>
        <w:bidi w:val="0"/>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250" w:name="_Toc19744"/>
      <w:bookmarkStart w:id="251" w:name="_Toc17853"/>
      <w:r>
        <w:rPr>
          <w:rFonts w:hint="default" w:ascii="Times New Roman" w:hAnsi="Times New Roman" w:eastAsia="方正仿宋_GB18030" w:cs="Times New Roman"/>
          <w:sz w:val="32"/>
          <w:szCs w:val="32"/>
          <w:lang w:val="en-US" w:eastAsia="zh-CN"/>
        </w:rPr>
        <w:t>16.1.2征地安置</w:t>
      </w:r>
      <w:bookmarkEnd w:id="250"/>
      <w:bookmarkEnd w:id="251"/>
    </w:p>
    <w:p w14:paraId="240713B0">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eastAsia" w:ascii="Times New Roman" w:hAnsi="Times New Roman" w:eastAsia="仿宋" w:cs="Times New Roman"/>
          <w:color w:val="333333"/>
          <w:spacing w:val="8"/>
          <w:sz w:val="32"/>
          <w:szCs w:val="32"/>
          <w:lang w:val="en-US" w:eastAsia="zh-CN"/>
        </w:rPr>
        <w:t>鸡东县</w:t>
      </w:r>
      <w:r>
        <w:rPr>
          <w:rFonts w:hint="default" w:ascii="Times New Roman" w:hAnsi="Times New Roman" w:eastAsia="仿宋" w:cs="Times New Roman"/>
          <w:color w:val="333333"/>
          <w:spacing w:val="8"/>
          <w:sz w:val="32"/>
          <w:szCs w:val="32"/>
          <w:lang w:val="en-US" w:eastAsia="zh-CN"/>
        </w:rPr>
        <w:t>人民政府将按照《黑龙江省被征地农民养老保险暂行</w:t>
      </w:r>
      <w:r>
        <w:rPr>
          <w:rFonts w:hint="default" w:ascii="Times New Roman" w:hAnsi="Times New Roman" w:eastAsia="仿宋" w:cs="Times New Roman"/>
          <w:color w:val="333333"/>
          <w:spacing w:val="8"/>
          <w:sz w:val="32"/>
          <w:szCs w:val="32"/>
          <w:lang w:eastAsia="zh-CN"/>
        </w:rPr>
        <w:t>办法》（黑劳社发〔2008〕64号）依法给予本次成片开发所涉土地征收范围内被征地农民和农村集体经济组织补偿，安排被征地农民的社会保障费用，并将被征地农民社保关系纳入城乡社会保障体系。</w:t>
      </w:r>
    </w:p>
    <w:p w14:paraId="372D6412">
      <w:pPr>
        <w:pStyle w:val="37"/>
        <w:pageBreakBefore w:val="0"/>
        <w:widowControl w:val="0"/>
        <w:kinsoku/>
        <w:wordWrap/>
        <w:overflowPunct/>
        <w:topLinePunct w:val="0"/>
        <w:autoSpaceDE/>
        <w:autoSpaceDN/>
        <w:bidi w:val="0"/>
        <w:snapToGrid/>
        <w:spacing w:line="560" w:lineRule="exact"/>
        <w:ind w:firstLine="643" w:firstLineChars="200"/>
        <w:textAlignment w:val="auto"/>
        <w:rPr>
          <w:rFonts w:hint="default" w:ascii="Times New Roman" w:hAnsi="Times New Roman" w:eastAsia="方正仿宋_GB18030" w:cs="Times New Roman"/>
          <w:sz w:val="32"/>
          <w:szCs w:val="32"/>
          <w:lang w:val="en-US" w:eastAsia="zh-CN"/>
        </w:rPr>
      </w:pPr>
      <w:bookmarkStart w:id="252" w:name="_Toc3330"/>
      <w:bookmarkStart w:id="253" w:name="_Toc28385"/>
      <w:r>
        <w:rPr>
          <w:rFonts w:hint="default" w:ascii="Times New Roman" w:hAnsi="Times New Roman" w:eastAsia="方正仿宋_GB18030" w:cs="Times New Roman"/>
          <w:sz w:val="32"/>
          <w:szCs w:val="32"/>
          <w:lang w:val="en-US" w:eastAsia="zh-CN"/>
        </w:rPr>
        <w:t>16.1.3征地程序</w:t>
      </w:r>
      <w:bookmarkEnd w:id="252"/>
      <w:bookmarkEnd w:id="253"/>
    </w:p>
    <w:p w14:paraId="532598E7">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成片开发所涉及的土地征收工作，</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自然资源局将严格按规定履行征地报批前告知、现状调查及确认、听证、公告等程序。</w:t>
      </w:r>
    </w:p>
    <w:p w14:paraId="1F4C93B8">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254" w:name="_Toc25548"/>
      <w:bookmarkStart w:id="255" w:name="_Toc21744"/>
      <w:r>
        <w:rPr>
          <w:rFonts w:hint="default" w:ascii="Times New Roman" w:hAnsi="Times New Roman" w:eastAsia="方正楷体_GB2312" w:cs="Times New Roman"/>
          <w:lang w:eastAsia="zh-CN"/>
        </w:rPr>
        <w:t>1</w:t>
      </w:r>
      <w:r>
        <w:rPr>
          <w:rFonts w:hint="default" w:ascii="Times New Roman" w:hAnsi="Times New Roman" w:eastAsia="方正楷体_GB2312" w:cs="Times New Roman"/>
          <w:lang w:val="en-US" w:eastAsia="zh-CN"/>
        </w:rPr>
        <w:t>6</w:t>
      </w:r>
      <w:r>
        <w:rPr>
          <w:rFonts w:hint="default" w:ascii="Times New Roman" w:hAnsi="Times New Roman" w:eastAsia="方正楷体_GB2312" w:cs="Times New Roman"/>
        </w:rPr>
        <w:t>.</w:t>
      </w:r>
      <w:r>
        <w:rPr>
          <w:rFonts w:hint="default" w:ascii="Times New Roman" w:hAnsi="Times New Roman" w:eastAsia="方正楷体_GB2312" w:cs="Times New Roman"/>
          <w:lang w:val="en-US" w:eastAsia="zh-CN"/>
        </w:rPr>
        <w:t>2</w:t>
      </w:r>
      <w:r>
        <w:rPr>
          <w:rFonts w:hint="default" w:ascii="Times New Roman" w:hAnsi="Times New Roman" w:eastAsia="方正楷体_GB2312" w:cs="Times New Roman"/>
        </w:rPr>
        <w:t>组织保障</w:t>
      </w:r>
      <w:bookmarkEnd w:id="254"/>
      <w:bookmarkEnd w:id="255"/>
    </w:p>
    <w:p w14:paraId="78C8ED9F">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优化</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营商环境，有利于完善市政基础设施、增加就业岗位、提升公共服务水平、打造品质产业社区。规范政务服务事项、优化政务服务流程、融合线上线下服务，对符合发展方向、大型服务企业在用地、资金等方面要给予政策支持，确保本项目顺利实施。为试车产业发展提供全流程在线服务，有效提升试车行业建设发展。依法构建政务环境、法治环境、市场环境，切实以法治思维和法治方式持续优化营商环境。要继续深化“放管服”改革，用减权、限权和监管改革，换来市场活力和社会创造力释放。为本方案提供便利和支持，各部门也与本次成片开发建设沟通协调机制，健全了项目法人责任制及督办检查制，并明确了目标管理责任、项目建设审计制度，并对组织管理、科学规划、税费减免等方面予以承诺，使本方案建设有了坚强的组织制度保障。</w:t>
      </w:r>
    </w:p>
    <w:p w14:paraId="54510F9D">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方正楷体_GB2312" w:cs="Times New Roman"/>
        </w:rPr>
      </w:pPr>
      <w:bookmarkStart w:id="256" w:name="_Toc7488"/>
      <w:bookmarkStart w:id="257" w:name="_Toc8850"/>
      <w:r>
        <w:rPr>
          <w:rFonts w:hint="default" w:ascii="Times New Roman" w:hAnsi="Times New Roman" w:eastAsia="方正楷体_GB2312" w:cs="Times New Roman"/>
          <w:lang w:eastAsia="zh-CN"/>
        </w:rPr>
        <w:t>1</w:t>
      </w:r>
      <w:r>
        <w:rPr>
          <w:rFonts w:hint="default" w:ascii="Times New Roman" w:hAnsi="Times New Roman" w:eastAsia="方正楷体_GB2312" w:cs="Times New Roman"/>
          <w:lang w:val="en-US" w:eastAsia="zh-CN"/>
        </w:rPr>
        <w:t>6</w:t>
      </w:r>
      <w:r>
        <w:rPr>
          <w:rFonts w:hint="default" w:ascii="Times New Roman" w:hAnsi="Times New Roman" w:eastAsia="方正楷体_GB2312" w:cs="Times New Roman"/>
        </w:rPr>
        <w:t>.</w:t>
      </w:r>
      <w:r>
        <w:rPr>
          <w:rFonts w:hint="default" w:ascii="Times New Roman" w:hAnsi="Times New Roman" w:eastAsia="方正楷体_GB2312" w:cs="Times New Roman"/>
          <w:lang w:val="en-US" w:eastAsia="zh-CN"/>
        </w:rPr>
        <w:t>3</w:t>
      </w:r>
      <w:r>
        <w:rPr>
          <w:rFonts w:hint="default" w:ascii="Times New Roman" w:hAnsi="Times New Roman" w:eastAsia="方正楷体_GB2312" w:cs="Times New Roman"/>
        </w:rPr>
        <w:t>经济保障</w:t>
      </w:r>
      <w:bookmarkEnd w:id="256"/>
      <w:bookmarkEnd w:id="257"/>
    </w:p>
    <w:p w14:paraId="7063A7ED">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0"/>
          <w:szCs w:val="30"/>
          <w:lang w:eastAsia="zh-CN"/>
        </w:rPr>
      </w:pPr>
      <w:r>
        <w:rPr>
          <w:rFonts w:hint="default" w:ascii="Times New Roman" w:hAnsi="Times New Roman" w:eastAsia="仿宋" w:cs="Times New Roman"/>
          <w:color w:val="333333"/>
          <w:spacing w:val="8"/>
          <w:sz w:val="32"/>
          <w:szCs w:val="32"/>
          <w:lang w:eastAsia="zh-CN"/>
        </w:rPr>
        <w:t>有利于解决地区发展不平衡、不充分等问题。在项目相关地产项目上资金回收能力非常好，已经受到区域消费者的欢迎。成片开发项目受到省政府市政府的全力支持，地方金融机构对项目进行了充分的评估，认可项目，将与项目开发方形成战略合作，项目融资渠道畅通。争取国家及省市对</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中心城区和</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内符合产业导向企业和科研机构，给予政策和资金补足。积极推动组建产业引导基金，引导产业发展。</w:t>
      </w:r>
    </w:p>
    <w:p w14:paraId="40810524">
      <w:pPr>
        <w:pageBreakBefore w:val="0"/>
        <w:widowControl w:val="0"/>
        <w:kinsoku/>
        <w:wordWrap/>
        <w:overflowPunct/>
        <w:topLinePunct w:val="0"/>
        <w:autoSpaceDE/>
        <w:autoSpaceDN/>
        <w:bidi w:val="0"/>
        <w:adjustRightInd w:val="0"/>
        <w:snapToGrid/>
        <w:spacing w:line="560" w:lineRule="exact"/>
        <w:ind w:firstLine="592" w:firstLineChars="200"/>
        <w:textAlignment w:val="auto"/>
        <w:rPr>
          <w:rFonts w:hint="default" w:ascii="Times New Roman" w:hAnsi="Times New Roman" w:eastAsia="宋体" w:cs="Times New Roman"/>
          <w:color w:val="333333"/>
          <w:spacing w:val="8"/>
          <w:sz w:val="28"/>
          <w:szCs w:val="28"/>
        </w:rPr>
      </w:pPr>
    </w:p>
    <w:p w14:paraId="4B509013">
      <w:pPr>
        <w:pStyle w:val="18"/>
        <w:pageBreakBefore w:val="0"/>
        <w:widowControl w:val="0"/>
        <w:kinsoku/>
        <w:wordWrap/>
        <w:overflowPunct/>
        <w:topLinePunct w:val="0"/>
        <w:autoSpaceDE/>
        <w:autoSpaceDN/>
        <w:bidi w:val="0"/>
        <w:snapToGrid/>
        <w:spacing w:line="560" w:lineRule="exact"/>
        <w:ind w:firstLine="420" w:firstLineChars="200"/>
        <w:textAlignment w:val="auto"/>
        <w:rPr>
          <w:rFonts w:hint="default" w:ascii="Times New Roman" w:hAnsi="Times New Roman" w:cs="Times New Roman"/>
        </w:rPr>
      </w:pPr>
    </w:p>
    <w:p w14:paraId="0714F0CA">
      <w:pPr>
        <w:pStyle w:val="2"/>
        <w:pageBreakBefore w:val="0"/>
        <w:widowControl w:val="0"/>
        <w:kinsoku/>
        <w:wordWrap/>
        <w:overflowPunct/>
        <w:topLinePunct w:val="0"/>
        <w:autoSpaceDE/>
        <w:autoSpaceDN/>
        <w:bidi w:val="0"/>
        <w:snapToGrid/>
        <w:spacing w:before="0" w:after="0" w:line="560" w:lineRule="exact"/>
        <w:ind w:firstLine="883" w:firstLineChars="200"/>
        <w:textAlignment w:val="auto"/>
        <w:rPr>
          <w:rFonts w:hint="default" w:ascii="Times New Roman" w:hAnsi="Times New Roman" w:cs="Times New Roman"/>
        </w:rPr>
        <w:sectPr>
          <w:pgSz w:w="11906" w:h="16838"/>
          <w:pgMar w:top="1440" w:right="1587" w:bottom="1440" w:left="1587" w:header="851" w:footer="992" w:gutter="0"/>
          <w:pgBorders>
            <w:top w:val="none" w:sz="0" w:space="0"/>
            <w:left w:val="none" w:sz="0" w:space="0"/>
            <w:bottom w:val="none" w:sz="0" w:space="0"/>
            <w:right w:val="none" w:sz="0" w:space="0"/>
          </w:pgBorders>
          <w:cols w:space="0" w:num="1"/>
          <w:rtlGutter w:val="0"/>
          <w:docGrid w:type="lines" w:linePitch="323" w:charSpace="0"/>
        </w:sectPr>
      </w:pPr>
    </w:p>
    <w:p w14:paraId="3D4D7E34">
      <w:pPr>
        <w:pStyle w:val="2"/>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黑体" w:cs="Times New Roman"/>
          <w:sz w:val="32"/>
          <w:szCs w:val="32"/>
        </w:rPr>
      </w:pPr>
      <w:bookmarkStart w:id="258" w:name="_Toc18821"/>
      <w:bookmarkStart w:id="259" w:name="_Toc14339"/>
      <w:r>
        <w:rPr>
          <w:rFonts w:hint="default" w:ascii="Times New Roman" w:hAnsi="Times New Roman" w:eastAsia="黑体" w:cs="Times New Roman"/>
          <w:sz w:val="32"/>
          <w:szCs w:val="32"/>
        </w:rPr>
        <w:t>1</w:t>
      </w:r>
      <w:r>
        <w:rPr>
          <w:rFonts w:hint="default" w:ascii="Times New Roman" w:hAnsi="Times New Roman" w:eastAsia="黑体" w:cs="Times New Roman"/>
          <w:sz w:val="32"/>
          <w:szCs w:val="32"/>
          <w:lang w:val="en-US" w:eastAsia="zh-CN"/>
        </w:rPr>
        <w:t>7</w:t>
      </w:r>
      <w:r>
        <w:rPr>
          <w:rFonts w:hint="default" w:ascii="Times New Roman" w:hAnsi="Times New Roman" w:eastAsia="黑体" w:cs="Times New Roman"/>
          <w:sz w:val="32"/>
          <w:szCs w:val="32"/>
        </w:rPr>
        <w:t>.结论</w:t>
      </w:r>
      <w:bookmarkEnd w:id="258"/>
      <w:bookmarkEnd w:id="259"/>
    </w:p>
    <w:p w14:paraId="059BC464">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default" w:ascii="Times New Roman" w:hAnsi="Times New Roman" w:eastAsia="仿宋" w:cs="Times New Roman"/>
          <w:color w:val="333333"/>
          <w:spacing w:val="8"/>
          <w:sz w:val="32"/>
          <w:szCs w:val="32"/>
          <w:lang w:eastAsia="zh-CN"/>
        </w:rPr>
      </w:pPr>
      <w:r>
        <w:rPr>
          <w:rFonts w:hint="default" w:ascii="Times New Roman" w:hAnsi="Times New Roman" w:eastAsia="仿宋" w:cs="Times New Roman"/>
          <w:color w:val="333333"/>
          <w:spacing w:val="8"/>
          <w:sz w:val="32"/>
          <w:szCs w:val="32"/>
          <w:lang w:eastAsia="zh-CN"/>
        </w:rPr>
        <w:t>本成片开发方案符合</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国民经济和社会发展规划、符合国土空间规划确定的城镇开发边界内，已纳入到</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中心城区和</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规划范围内、</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国民经济和社会发展年度计划，符合自然资源部土地征收“成片开发”的标准。做到了保护耕地、维护农民合法权益、节约集约用地、保护生态环境，能够促进经济社会可持续发展，符合</w:t>
      </w:r>
      <w:r>
        <w:rPr>
          <w:rFonts w:hint="eastAsia" w:ascii="Times New Roman" w:hAnsi="Times New Roman" w:eastAsia="仿宋" w:cs="Times New Roman"/>
          <w:color w:val="333333"/>
          <w:spacing w:val="8"/>
          <w:sz w:val="32"/>
          <w:szCs w:val="32"/>
          <w:lang w:eastAsia="zh-CN"/>
        </w:rPr>
        <w:t>鸡东县</w:t>
      </w:r>
      <w:r>
        <w:rPr>
          <w:rFonts w:hint="default" w:ascii="Times New Roman" w:hAnsi="Times New Roman" w:eastAsia="仿宋" w:cs="Times New Roman"/>
          <w:color w:val="333333"/>
          <w:spacing w:val="8"/>
          <w:sz w:val="32"/>
          <w:szCs w:val="32"/>
          <w:lang w:eastAsia="zh-CN"/>
        </w:rPr>
        <w:t>经济社会持续发展的长远利益。</w:t>
      </w:r>
    </w:p>
    <w:p w14:paraId="5FB2AE40">
      <w:pPr>
        <w:keepNext w:val="0"/>
        <w:keepLines w:val="0"/>
        <w:pageBreakBefore w:val="0"/>
        <w:widowControl w:val="0"/>
        <w:kinsoku/>
        <w:wordWrap/>
        <w:overflowPunct/>
        <w:topLinePunct w:val="0"/>
        <w:autoSpaceDE/>
        <w:autoSpaceDN/>
        <w:bidi w:val="0"/>
        <w:adjustRightInd/>
        <w:snapToGrid/>
        <w:spacing w:line="560" w:lineRule="exact"/>
        <w:ind w:firstLine="669"/>
        <w:textAlignment w:val="auto"/>
        <w:rPr>
          <w:rFonts w:hint="default" w:ascii="Times New Roman" w:hAnsi="Times New Roman" w:eastAsia="仿宋" w:cs="Times New Roman"/>
          <w:color w:val="333333"/>
          <w:spacing w:val="8"/>
          <w:sz w:val="30"/>
          <w:szCs w:val="30"/>
          <w:lang w:eastAsia="zh-CN"/>
        </w:rPr>
      </w:pPr>
    </w:p>
    <w:p w14:paraId="57C0D9C4">
      <w:pPr>
        <w:keepNext w:val="0"/>
        <w:keepLines w:val="0"/>
        <w:pageBreakBefore w:val="0"/>
        <w:widowControl w:val="0"/>
        <w:kinsoku/>
        <w:wordWrap/>
        <w:overflowPunct/>
        <w:topLinePunct w:val="0"/>
        <w:autoSpaceDE/>
        <w:autoSpaceDN/>
        <w:bidi w:val="0"/>
        <w:adjustRightInd/>
        <w:snapToGrid/>
        <w:spacing w:line="560" w:lineRule="exact"/>
        <w:ind w:firstLine="669"/>
        <w:textAlignment w:val="auto"/>
        <w:rPr>
          <w:rFonts w:hint="default" w:ascii="Times New Roman" w:hAnsi="Times New Roman" w:eastAsia="仿宋" w:cs="Times New Roman"/>
          <w:color w:val="333333"/>
          <w:spacing w:val="8"/>
          <w:sz w:val="30"/>
          <w:szCs w:val="30"/>
          <w:lang w:eastAsia="zh-CN"/>
        </w:rPr>
        <w:sectPr>
          <w:pgSz w:w="11906" w:h="16838"/>
          <w:pgMar w:top="1440" w:right="1587" w:bottom="1440" w:left="1587" w:header="851" w:footer="992" w:gutter="0"/>
          <w:pgBorders>
            <w:top w:val="none" w:sz="0" w:space="0"/>
            <w:left w:val="none" w:sz="0" w:space="0"/>
            <w:bottom w:val="none" w:sz="0" w:space="0"/>
            <w:right w:val="none" w:sz="0" w:space="0"/>
          </w:pgBorders>
          <w:cols w:space="0" w:num="1"/>
          <w:rtlGutter w:val="0"/>
          <w:docGrid w:type="lines" w:linePitch="323" w:charSpace="0"/>
        </w:sectPr>
      </w:pPr>
      <w:bookmarkStart w:id="260" w:name="_Toc25689"/>
    </w:p>
    <w:p w14:paraId="149602EC">
      <w:pPr>
        <w:pStyle w:val="2"/>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eastAsia="黑体" w:cs="Times New Roman"/>
          <w:sz w:val="32"/>
          <w:szCs w:val="32"/>
        </w:rPr>
      </w:pPr>
      <w:bookmarkStart w:id="261" w:name="_Toc25803"/>
      <w:bookmarkStart w:id="262" w:name="_Toc8979"/>
      <w:r>
        <w:rPr>
          <w:rFonts w:hint="default" w:ascii="Times New Roman" w:hAnsi="Times New Roman" w:eastAsia="黑体" w:cs="Times New Roman"/>
          <w:sz w:val="32"/>
          <w:szCs w:val="32"/>
        </w:rPr>
        <w:t>1</w:t>
      </w:r>
      <w:r>
        <w:rPr>
          <w:rFonts w:hint="default" w:ascii="Times New Roman" w:hAnsi="Times New Roman" w:eastAsia="黑体" w:cs="Times New Roman"/>
          <w:sz w:val="32"/>
          <w:szCs w:val="32"/>
          <w:lang w:val="en-US" w:eastAsia="zh-CN"/>
        </w:rPr>
        <w:t>8</w:t>
      </w:r>
      <w:r>
        <w:rPr>
          <w:rFonts w:hint="default" w:ascii="Times New Roman" w:hAnsi="Times New Roman" w:eastAsia="黑体" w:cs="Times New Roman"/>
          <w:sz w:val="32"/>
          <w:szCs w:val="32"/>
        </w:rPr>
        <w:t>.附表</w:t>
      </w:r>
      <w:bookmarkEnd w:id="260"/>
      <w:bookmarkEnd w:id="261"/>
      <w:bookmarkEnd w:id="262"/>
    </w:p>
    <w:tbl>
      <w:tblPr>
        <w:tblStyle w:val="2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25"/>
        <w:gridCol w:w="2207"/>
        <w:gridCol w:w="1047"/>
        <w:gridCol w:w="2321"/>
        <w:gridCol w:w="1350"/>
        <w:gridCol w:w="1098"/>
      </w:tblGrid>
      <w:tr w14:paraId="08EDF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6"/>
            <w:tcBorders>
              <w:top w:val="nil"/>
              <w:left w:val="nil"/>
              <w:bottom w:val="nil"/>
              <w:right w:val="nil"/>
            </w:tcBorders>
            <w:shd w:val="clear" w:color="auto" w:fill="auto"/>
            <w:noWrap/>
            <w:vAlign w:val="center"/>
          </w:tcPr>
          <w:p w14:paraId="08D58194">
            <w:pPr>
              <w:keepNext w:val="0"/>
              <w:keepLines w:val="0"/>
              <w:widowControl/>
              <w:suppressLineNumbers w:val="0"/>
              <w:jc w:val="center"/>
              <w:textAlignment w:val="center"/>
              <w:rPr>
                <w:rFonts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土地利用现状面积统计表</w:t>
            </w:r>
          </w:p>
        </w:tc>
      </w:tr>
      <w:tr w14:paraId="5019C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75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7660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一级地类类</w:t>
            </w:r>
          </w:p>
        </w:tc>
        <w:tc>
          <w:tcPr>
            <w:tcW w:w="18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005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二级地类</w:t>
            </w:r>
          </w:p>
        </w:tc>
        <w:tc>
          <w:tcPr>
            <w:tcW w:w="75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8040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面积</w:t>
            </w:r>
          </w:p>
          <w:p w14:paraId="30E81E7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（公顷）</w:t>
            </w:r>
          </w:p>
        </w:tc>
        <w:tc>
          <w:tcPr>
            <w:tcW w:w="61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E39A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占比</w:t>
            </w:r>
          </w:p>
          <w:p w14:paraId="5D6E0C0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ascii="仿宋" w:hAnsi="仿宋" w:eastAsia="仿宋" w:cs="仿宋"/>
                <w:i w:val="0"/>
                <w:iCs w:val="0"/>
                <w:color w:val="000000"/>
                <w:kern w:val="0"/>
                <w:sz w:val="22"/>
                <w:szCs w:val="22"/>
                <w:u w:val="none"/>
                <w:lang w:val="en-US" w:eastAsia="zh-CN" w:bidi="ar"/>
              </w:rPr>
              <w:t>）</w:t>
            </w:r>
          </w:p>
        </w:tc>
      </w:tr>
      <w:tr w14:paraId="7A42E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833F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地类编码</w:t>
            </w:r>
          </w:p>
        </w:tc>
        <w:tc>
          <w:tcPr>
            <w:tcW w:w="1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8304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地类名称</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F0D9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地类编码</w:t>
            </w:r>
          </w:p>
        </w:tc>
        <w:tc>
          <w:tcPr>
            <w:tcW w:w="1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78DD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地类名称</w:t>
            </w:r>
          </w:p>
        </w:tc>
        <w:tc>
          <w:tcPr>
            <w:tcW w:w="7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27705">
            <w:pPr>
              <w:jc w:val="center"/>
              <w:rPr>
                <w:rFonts w:hint="default" w:ascii="Times New Roman" w:hAnsi="Times New Roman" w:eastAsia="宋体" w:cs="Times New Roman"/>
                <w:i w:val="0"/>
                <w:iCs w:val="0"/>
                <w:color w:val="000000"/>
                <w:sz w:val="22"/>
                <w:szCs w:val="22"/>
                <w:u w:val="none"/>
              </w:rPr>
            </w:pPr>
          </w:p>
        </w:tc>
        <w:tc>
          <w:tcPr>
            <w:tcW w:w="6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A620E">
            <w:pPr>
              <w:jc w:val="center"/>
              <w:rPr>
                <w:rFonts w:hint="default" w:ascii="Times New Roman" w:hAnsi="Times New Roman" w:eastAsia="宋体" w:cs="Times New Roman"/>
                <w:i w:val="0"/>
                <w:iCs w:val="0"/>
                <w:color w:val="000000"/>
                <w:sz w:val="22"/>
                <w:szCs w:val="22"/>
                <w:u w:val="none"/>
              </w:rPr>
            </w:pPr>
          </w:p>
        </w:tc>
      </w:tr>
      <w:tr w14:paraId="026C7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1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19FF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01</w:t>
            </w:r>
          </w:p>
        </w:tc>
        <w:tc>
          <w:tcPr>
            <w:tcW w:w="123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1458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耕地</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8321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0101</w:t>
            </w:r>
          </w:p>
        </w:tc>
        <w:tc>
          <w:tcPr>
            <w:tcW w:w="1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373A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水田</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4B2F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10.214</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2CB1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13.54</w:t>
            </w:r>
          </w:p>
        </w:tc>
      </w:tr>
      <w:tr w14:paraId="37D53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026B9">
            <w:pPr>
              <w:jc w:val="center"/>
              <w:rPr>
                <w:rFonts w:hint="default" w:ascii="Times New Roman" w:hAnsi="Times New Roman" w:eastAsia="宋体" w:cs="Times New Roman"/>
                <w:i w:val="0"/>
                <w:iCs w:val="0"/>
                <w:color w:val="000000"/>
                <w:sz w:val="22"/>
                <w:szCs w:val="22"/>
                <w:u w:val="none"/>
              </w:rPr>
            </w:pPr>
          </w:p>
        </w:tc>
        <w:tc>
          <w:tcPr>
            <w:tcW w:w="123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4EA80">
            <w:pPr>
              <w:jc w:val="center"/>
              <w:rPr>
                <w:rFonts w:hint="default" w:ascii="Times New Roman" w:hAnsi="Times New Roman" w:eastAsia="宋体" w:cs="Times New Roman"/>
                <w:i w:val="0"/>
                <w:iCs w:val="0"/>
                <w:color w:val="000000"/>
                <w:sz w:val="22"/>
                <w:szCs w:val="22"/>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D0F5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0103</w:t>
            </w:r>
          </w:p>
        </w:tc>
        <w:tc>
          <w:tcPr>
            <w:tcW w:w="1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DF83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旱地</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7BF3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41.457</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73A6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54.94</w:t>
            </w:r>
          </w:p>
        </w:tc>
      </w:tr>
      <w:tr w14:paraId="46C42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F409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02</w:t>
            </w:r>
          </w:p>
        </w:tc>
        <w:tc>
          <w:tcPr>
            <w:tcW w:w="1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F596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园地</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F999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0201</w:t>
            </w:r>
          </w:p>
        </w:tc>
        <w:tc>
          <w:tcPr>
            <w:tcW w:w="1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3D6A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果园</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EE4C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0.9937</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CBA0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1.32</w:t>
            </w:r>
          </w:p>
        </w:tc>
      </w:tr>
      <w:tr w14:paraId="1618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1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8AC0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03</w:t>
            </w:r>
          </w:p>
        </w:tc>
        <w:tc>
          <w:tcPr>
            <w:tcW w:w="123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34A7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林地</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8E79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0301</w:t>
            </w:r>
          </w:p>
        </w:tc>
        <w:tc>
          <w:tcPr>
            <w:tcW w:w="1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1D72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乔木林地</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D2C5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0.5795</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7A54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0.77</w:t>
            </w:r>
          </w:p>
        </w:tc>
      </w:tr>
      <w:tr w14:paraId="6EAE3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1A407">
            <w:pPr>
              <w:jc w:val="center"/>
              <w:rPr>
                <w:rFonts w:hint="default" w:ascii="Times New Roman" w:hAnsi="Times New Roman" w:eastAsia="宋体" w:cs="Times New Roman"/>
                <w:i w:val="0"/>
                <w:iCs w:val="0"/>
                <w:color w:val="000000"/>
                <w:sz w:val="22"/>
                <w:szCs w:val="22"/>
                <w:u w:val="none"/>
              </w:rPr>
            </w:pPr>
          </w:p>
        </w:tc>
        <w:tc>
          <w:tcPr>
            <w:tcW w:w="123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E2A14">
            <w:pPr>
              <w:jc w:val="center"/>
              <w:rPr>
                <w:rFonts w:hint="default" w:ascii="Times New Roman" w:hAnsi="Times New Roman" w:eastAsia="宋体" w:cs="Times New Roman"/>
                <w:i w:val="0"/>
                <w:iCs w:val="0"/>
                <w:color w:val="000000"/>
                <w:sz w:val="22"/>
                <w:szCs w:val="22"/>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6304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0307</w:t>
            </w:r>
          </w:p>
        </w:tc>
        <w:tc>
          <w:tcPr>
            <w:tcW w:w="1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A91B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其他林地</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805D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1.3196</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92CE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1.75</w:t>
            </w:r>
          </w:p>
        </w:tc>
      </w:tr>
      <w:tr w14:paraId="1A38E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16F9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04</w:t>
            </w:r>
          </w:p>
        </w:tc>
        <w:tc>
          <w:tcPr>
            <w:tcW w:w="1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E417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草地</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FEC2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0404</w:t>
            </w:r>
          </w:p>
        </w:tc>
        <w:tc>
          <w:tcPr>
            <w:tcW w:w="1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1A78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其他草地</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7442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0.8185</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0ADE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1.08</w:t>
            </w:r>
          </w:p>
        </w:tc>
      </w:tr>
      <w:tr w14:paraId="7B1CB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1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561B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05</w:t>
            </w:r>
          </w:p>
        </w:tc>
        <w:tc>
          <w:tcPr>
            <w:tcW w:w="12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D973C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商业服务业用地</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C029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0508</w:t>
            </w:r>
          </w:p>
        </w:tc>
        <w:tc>
          <w:tcPr>
            <w:tcW w:w="1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168B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物流仓储用地</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579B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0.016</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ABD2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0.02</w:t>
            </w:r>
          </w:p>
        </w:tc>
      </w:tr>
      <w:tr w14:paraId="559D7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79401">
            <w:pPr>
              <w:jc w:val="center"/>
              <w:rPr>
                <w:rFonts w:hint="default" w:ascii="Times New Roman" w:hAnsi="Times New Roman" w:eastAsia="宋体" w:cs="Times New Roman"/>
                <w:i w:val="0"/>
                <w:iCs w:val="0"/>
                <w:color w:val="000000"/>
                <w:sz w:val="22"/>
                <w:szCs w:val="22"/>
                <w:u w:val="none"/>
              </w:rPr>
            </w:pPr>
          </w:p>
        </w:tc>
        <w:tc>
          <w:tcPr>
            <w:tcW w:w="1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85DCB4">
            <w:pPr>
              <w:jc w:val="center"/>
              <w:rPr>
                <w:rFonts w:hint="default" w:ascii="Times New Roman" w:hAnsi="Times New Roman" w:eastAsia="宋体" w:cs="Times New Roman"/>
                <w:i w:val="0"/>
                <w:iCs w:val="0"/>
                <w:color w:val="000000"/>
                <w:sz w:val="22"/>
                <w:szCs w:val="22"/>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D589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05H1</w:t>
            </w:r>
          </w:p>
        </w:tc>
        <w:tc>
          <w:tcPr>
            <w:tcW w:w="1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36B7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商业服务业设施用地</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42FC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0.0054</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100C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0.01</w:t>
            </w:r>
          </w:p>
        </w:tc>
      </w:tr>
      <w:tr w14:paraId="62248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0382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06</w:t>
            </w:r>
          </w:p>
        </w:tc>
        <w:tc>
          <w:tcPr>
            <w:tcW w:w="1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7844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工矿用地</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91AA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0601</w:t>
            </w:r>
          </w:p>
        </w:tc>
        <w:tc>
          <w:tcPr>
            <w:tcW w:w="1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585F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工业用地</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2AE0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0.3607</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6E07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0.48</w:t>
            </w:r>
          </w:p>
        </w:tc>
      </w:tr>
      <w:tr w14:paraId="51D7E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A873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07</w:t>
            </w:r>
          </w:p>
        </w:tc>
        <w:tc>
          <w:tcPr>
            <w:tcW w:w="1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8854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住宅用地</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D883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0701</w:t>
            </w:r>
          </w:p>
        </w:tc>
        <w:tc>
          <w:tcPr>
            <w:tcW w:w="1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C5A2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城镇住宅用地</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E0B7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9.998</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11EB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13.25</w:t>
            </w:r>
          </w:p>
        </w:tc>
      </w:tr>
      <w:tr w14:paraId="72F24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1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1944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08</w:t>
            </w:r>
          </w:p>
        </w:tc>
        <w:tc>
          <w:tcPr>
            <w:tcW w:w="12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ED40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公共管理与公共服务用地</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379E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0809</w:t>
            </w:r>
          </w:p>
        </w:tc>
        <w:tc>
          <w:tcPr>
            <w:tcW w:w="1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6C46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公用设施用地</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FB98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0.0057</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FD1A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0.01</w:t>
            </w:r>
          </w:p>
        </w:tc>
      </w:tr>
      <w:tr w14:paraId="241AD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61FF0">
            <w:pPr>
              <w:jc w:val="center"/>
              <w:rPr>
                <w:rFonts w:hint="default" w:ascii="Times New Roman" w:hAnsi="Times New Roman" w:eastAsia="宋体" w:cs="Times New Roman"/>
                <w:i w:val="0"/>
                <w:iCs w:val="0"/>
                <w:color w:val="000000"/>
                <w:sz w:val="22"/>
                <w:szCs w:val="22"/>
                <w:u w:val="none"/>
              </w:rPr>
            </w:pPr>
          </w:p>
        </w:tc>
        <w:tc>
          <w:tcPr>
            <w:tcW w:w="1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21957D">
            <w:pPr>
              <w:jc w:val="center"/>
              <w:rPr>
                <w:rFonts w:hint="default" w:ascii="Times New Roman" w:hAnsi="Times New Roman" w:eastAsia="宋体" w:cs="Times New Roman"/>
                <w:i w:val="0"/>
                <w:iCs w:val="0"/>
                <w:color w:val="000000"/>
                <w:sz w:val="20"/>
                <w:szCs w:val="20"/>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2D77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0810</w:t>
            </w:r>
          </w:p>
        </w:tc>
        <w:tc>
          <w:tcPr>
            <w:tcW w:w="1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C49B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公园与绿地</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5501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5.0305</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BC0C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6.67</w:t>
            </w:r>
          </w:p>
        </w:tc>
      </w:tr>
      <w:tr w14:paraId="6E5D6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34D84">
            <w:pPr>
              <w:jc w:val="center"/>
              <w:rPr>
                <w:rFonts w:hint="default" w:ascii="Times New Roman" w:hAnsi="Times New Roman" w:eastAsia="宋体" w:cs="Times New Roman"/>
                <w:i w:val="0"/>
                <w:iCs w:val="0"/>
                <w:color w:val="000000"/>
                <w:sz w:val="22"/>
                <w:szCs w:val="22"/>
                <w:u w:val="none"/>
              </w:rPr>
            </w:pPr>
          </w:p>
        </w:tc>
        <w:tc>
          <w:tcPr>
            <w:tcW w:w="1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2E220">
            <w:pPr>
              <w:jc w:val="center"/>
              <w:rPr>
                <w:rFonts w:hint="default" w:ascii="Times New Roman" w:hAnsi="Times New Roman" w:eastAsia="宋体" w:cs="Times New Roman"/>
                <w:i w:val="0"/>
                <w:iCs w:val="0"/>
                <w:color w:val="000000"/>
                <w:sz w:val="20"/>
                <w:szCs w:val="20"/>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CF72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08H1</w:t>
            </w:r>
          </w:p>
        </w:tc>
        <w:tc>
          <w:tcPr>
            <w:tcW w:w="1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52D2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科教文卫用地</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B96A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1.0346</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38B8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1.37</w:t>
            </w:r>
          </w:p>
        </w:tc>
      </w:tr>
      <w:tr w14:paraId="7D1A6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1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1A55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12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D219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交通运输用地</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D32D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1001</w:t>
            </w:r>
          </w:p>
        </w:tc>
        <w:tc>
          <w:tcPr>
            <w:tcW w:w="1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7063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公路用地</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732C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0.0892</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3A72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0.12</w:t>
            </w:r>
          </w:p>
        </w:tc>
      </w:tr>
      <w:tr w14:paraId="04A24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D3A73">
            <w:pPr>
              <w:jc w:val="center"/>
              <w:rPr>
                <w:rFonts w:hint="default" w:ascii="Times New Roman" w:hAnsi="Times New Roman" w:eastAsia="宋体" w:cs="Times New Roman"/>
                <w:i w:val="0"/>
                <w:iCs w:val="0"/>
                <w:color w:val="000000"/>
                <w:sz w:val="22"/>
                <w:szCs w:val="22"/>
                <w:u w:val="none"/>
              </w:rPr>
            </w:pPr>
          </w:p>
        </w:tc>
        <w:tc>
          <w:tcPr>
            <w:tcW w:w="1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17D76">
            <w:pPr>
              <w:jc w:val="center"/>
              <w:rPr>
                <w:rFonts w:hint="default" w:ascii="Times New Roman" w:hAnsi="Times New Roman" w:eastAsia="宋体" w:cs="Times New Roman"/>
                <w:i w:val="0"/>
                <w:iCs w:val="0"/>
                <w:color w:val="000000"/>
                <w:sz w:val="20"/>
                <w:szCs w:val="20"/>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EFC6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1004</w:t>
            </w:r>
          </w:p>
        </w:tc>
        <w:tc>
          <w:tcPr>
            <w:tcW w:w="1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C098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城镇村道路用地</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097D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0.2728</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0F2A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0.36</w:t>
            </w:r>
          </w:p>
        </w:tc>
      </w:tr>
      <w:tr w14:paraId="746FB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11236">
            <w:pPr>
              <w:jc w:val="center"/>
              <w:rPr>
                <w:rFonts w:hint="default" w:ascii="Times New Roman" w:hAnsi="Times New Roman" w:eastAsia="宋体" w:cs="Times New Roman"/>
                <w:i w:val="0"/>
                <w:iCs w:val="0"/>
                <w:color w:val="000000"/>
                <w:sz w:val="22"/>
                <w:szCs w:val="22"/>
                <w:u w:val="none"/>
              </w:rPr>
            </w:pPr>
          </w:p>
        </w:tc>
        <w:tc>
          <w:tcPr>
            <w:tcW w:w="1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249BD">
            <w:pPr>
              <w:jc w:val="center"/>
              <w:rPr>
                <w:rFonts w:hint="default" w:ascii="Times New Roman" w:hAnsi="Times New Roman" w:eastAsia="宋体" w:cs="Times New Roman"/>
                <w:i w:val="0"/>
                <w:iCs w:val="0"/>
                <w:color w:val="000000"/>
                <w:sz w:val="20"/>
                <w:szCs w:val="20"/>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6DA8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1006</w:t>
            </w:r>
          </w:p>
        </w:tc>
        <w:tc>
          <w:tcPr>
            <w:tcW w:w="1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D018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农村道路</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4276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1.4027</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580F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1.86</w:t>
            </w:r>
          </w:p>
        </w:tc>
      </w:tr>
      <w:tr w14:paraId="3B8D5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201B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1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33BC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水域及水利设施用地</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C4B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1107</w:t>
            </w:r>
          </w:p>
        </w:tc>
        <w:tc>
          <w:tcPr>
            <w:tcW w:w="1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5777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沟渠</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89CE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1.7577</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D06F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2.33</w:t>
            </w:r>
          </w:p>
        </w:tc>
      </w:tr>
      <w:tr w14:paraId="26AA3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46B7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1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1627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其他土地</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D7BC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1206</w:t>
            </w:r>
          </w:p>
        </w:tc>
        <w:tc>
          <w:tcPr>
            <w:tcW w:w="1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DD23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裸土地</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5FA7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0.1051</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D0D4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0.14</w:t>
            </w:r>
          </w:p>
        </w:tc>
      </w:tr>
      <w:tr w14:paraId="29792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3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CA0B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合计</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4C58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75.4607</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97AA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bl>
    <w:p w14:paraId="341EAE64">
      <w:pPr>
        <w:rPr>
          <w:rFonts w:hint="default"/>
        </w:rPr>
      </w:pPr>
    </w:p>
    <w:tbl>
      <w:tblPr>
        <w:tblStyle w:val="2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02"/>
        <w:gridCol w:w="2584"/>
        <w:gridCol w:w="1843"/>
        <w:gridCol w:w="1843"/>
        <w:gridCol w:w="1576"/>
      </w:tblGrid>
      <w:tr w14:paraId="0BAB8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5"/>
            <w:tcBorders>
              <w:top w:val="nil"/>
              <w:left w:val="nil"/>
              <w:bottom w:val="nil"/>
              <w:right w:val="nil"/>
            </w:tcBorders>
            <w:shd w:val="clear" w:color="auto" w:fill="auto"/>
            <w:noWrap/>
            <w:vAlign w:val="center"/>
          </w:tcPr>
          <w:p w14:paraId="2BCF2210">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ascii="仿宋" w:hAnsi="仿宋" w:eastAsia="仿宋" w:cs="仿宋"/>
                <w:b/>
                <w:bCs/>
                <w:i w:val="0"/>
                <w:iCs w:val="0"/>
                <w:color w:val="000000"/>
                <w:kern w:val="0"/>
                <w:sz w:val="22"/>
                <w:szCs w:val="22"/>
                <w:u w:val="none"/>
                <w:lang w:val="en-US" w:eastAsia="zh-CN" w:bidi="ar"/>
              </w:rPr>
              <w:t>权属面积统计表</w:t>
            </w:r>
          </w:p>
        </w:tc>
      </w:tr>
      <w:tr w14:paraId="2D718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 w:hRule="atLeast"/>
        </w:trPr>
        <w:tc>
          <w:tcPr>
            <w:tcW w:w="5000" w:type="pct"/>
            <w:gridSpan w:val="5"/>
            <w:tcBorders>
              <w:top w:val="nil"/>
              <w:left w:val="nil"/>
              <w:bottom w:val="nil"/>
              <w:right w:val="nil"/>
            </w:tcBorders>
            <w:shd w:val="clear" w:color="auto" w:fill="auto"/>
            <w:noWrap/>
            <w:vAlign w:val="center"/>
          </w:tcPr>
          <w:p w14:paraId="60BF1D92">
            <w:pPr>
              <w:keepNext w:val="0"/>
              <w:keepLines w:val="0"/>
              <w:widowControl/>
              <w:suppressLineNumbers w:val="0"/>
              <w:jc w:val="right"/>
              <w:textAlignment w:val="center"/>
              <w:rPr>
                <w:rFonts w:hint="default" w:ascii="Times New Roman" w:hAnsi="Times New Roman" w:eastAsia="宋体" w:cs="Times New Roman"/>
                <w:i w:val="0"/>
                <w:iCs w:val="0"/>
                <w:color w:val="000000"/>
                <w:sz w:val="12"/>
                <w:szCs w:val="12"/>
                <w:u w:val="none"/>
              </w:rPr>
            </w:pPr>
            <w:r>
              <w:rPr>
                <w:rFonts w:hint="eastAsia" w:ascii="仿宋" w:hAnsi="仿宋" w:eastAsia="仿宋" w:cs="仿宋"/>
                <w:i w:val="0"/>
                <w:iCs w:val="0"/>
                <w:color w:val="000000"/>
                <w:kern w:val="0"/>
                <w:sz w:val="22"/>
                <w:szCs w:val="22"/>
                <w:u w:val="none"/>
                <w:lang w:val="en-US" w:eastAsia="zh-CN" w:bidi="ar"/>
              </w:rPr>
              <w:t>单位：公顷</w:t>
            </w:r>
          </w:p>
        </w:tc>
      </w:tr>
      <w:tr w14:paraId="587B4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7CF3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序号</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7889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权属单位名称</w:t>
            </w:r>
          </w:p>
        </w:tc>
        <w:tc>
          <w:tcPr>
            <w:tcW w:w="10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9E7C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国有土地</w:t>
            </w:r>
          </w:p>
        </w:tc>
        <w:tc>
          <w:tcPr>
            <w:tcW w:w="10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7260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集体土地</w:t>
            </w:r>
          </w:p>
        </w:tc>
        <w:tc>
          <w:tcPr>
            <w:tcW w:w="8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921C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总计</w:t>
            </w:r>
          </w:p>
        </w:tc>
      </w:tr>
      <w:tr w14:paraId="07C7D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2C45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8D8D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方虎公路</w:t>
            </w:r>
          </w:p>
        </w:tc>
        <w:tc>
          <w:tcPr>
            <w:tcW w:w="10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CE6A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0.0892</w:t>
            </w:r>
          </w:p>
        </w:tc>
        <w:tc>
          <w:tcPr>
            <w:tcW w:w="10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AF1F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8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3789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0.0892</w:t>
            </w:r>
          </w:p>
        </w:tc>
      </w:tr>
      <w:tr w14:paraId="02028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7BFB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760F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鸡东镇镇直</w:t>
            </w:r>
          </w:p>
        </w:tc>
        <w:tc>
          <w:tcPr>
            <w:tcW w:w="10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CACF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18.5813</w:t>
            </w:r>
          </w:p>
        </w:tc>
        <w:tc>
          <w:tcPr>
            <w:tcW w:w="10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4DF6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8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7DCE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18.5813</w:t>
            </w:r>
          </w:p>
        </w:tc>
      </w:tr>
      <w:tr w14:paraId="7C7B3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EF27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CE72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银峰村</w:t>
            </w:r>
          </w:p>
        </w:tc>
        <w:tc>
          <w:tcPr>
            <w:tcW w:w="10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0B39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0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6A5F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3.5077</w:t>
            </w:r>
          </w:p>
        </w:tc>
        <w:tc>
          <w:tcPr>
            <w:tcW w:w="8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97E1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3.5077</w:t>
            </w:r>
          </w:p>
        </w:tc>
      </w:tr>
      <w:tr w14:paraId="03A35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30B3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243A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永平村</w:t>
            </w:r>
          </w:p>
        </w:tc>
        <w:tc>
          <w:tcPr>
            <w:tcW w:w="10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96FE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0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8CF1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53.2825</w:t>
            </w:r>
          </w:p>
        </w:tc>
        <w:tc>
          <w:tcPr>
            <w:tcW w:w="8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F6CB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53.2825</w:t>
            </w:r>
          </w:p>
        </w:tc>
      </w:tr>
    </w:tbl>
    <w:p w14:paraId="395A8B3D">
      <w:pPr>
        <w:rPr>
          <w:rFonts w:hint="default"/>
        </w:rPr>
      </w:pPr>
    </w:p>
    <w:p w14:paraId="79FB24FA">
      <w:pPr>
        <w:rPr>
          <w:rFonts w:hint="default"/>
        </w:rPr>
      </w:pPr>
    </w:p>
    <w:p w14:paraId="07DA1E4B">
      <w:pPr>
        <w:rPr>
          <w:rFonts w:hint="default" w:ascii="Times New Roman" w:hAnsi="Times New Roman" w:eastAsia="黑体" w:cs="Times New Roman"/>
          <w:b/>
          <w:bCs/>
          <w:color w:val="333333"/>
          <w:spacing w:val="8"/>
          <w:szCs w:val="21"/>
          <w:lang w:eastAsia="zh-CN"/>
        </w:rPr>
        <w:sectPr>
          <w:pgSz w:w="11906" w:h="16838"/>
          <w:pgMar w:top="1440" w:right="1587" w:bottom="1440" w:left="1587" w:header="851" w:footer="992" w:gutter="0"/>
          <w:pgBorders>
            <w:top w:val="none" w:sz="0" w:space="0"/>
            <w:left w:val="none" w:sz="0" w:space="0"/>
            <w:bottom w:val="none" w:sz="0" w:space="0"/>
            <w:right w:val="none" w:sz="0" w:space="0"/>
          </w:pgBorders>
          <w:cols w:space="0" w:num="1"/>
          <w:rtlGutter w:val="0"/>
          <w:docGrid w:type="lines" w:linePitch="323" w:charSpace="0"/>
        </w:sectPr>
      </w:pPr>
      <w:r>
        <w:rPr>
          <w:rFonts w:hint="default" w:ascii="Times New Roman" w:hAnsi="Times New Roman" w:eastAsia="黑体" w:cs="Times New Roman"/>
          <w:b/>
          <w:bCs/>
          <w:color w:val="333333"/>
          <w:spacing w:val="8"/>
          <w:szCs w:val="21"/>
          <w:lang w:eastAsia="zh-CN"/>
        </w:rPr>
        <w:br w:type="page"/>
      </w:r>
    </w:p>
    <w:p w14:paraId="00387C45">
      <w:pPr>
        <w:pStyle w:val="2"/>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eastAsia" w:ascii="Times New Roman" w:hAnsi="Times New Roman" w:eastAsia="黑体" w:cs="Times New Roman"/>
          <w:sz w:val="32"/>
          <w:szCs w:val="32"/>
          <w:lang w:val="en-US" w:eastAsia="zh-CN"/>
        </w:rPr>
      </w:pPr>
      <w:bookmarkStart w:id="263" w:name="_Toc11403"/>
      <w:bookmarkStart w:id="264" w:name="_Toc29901"/>
      <w:r>
        <w:rPr>
          <w:rFonts w:hint="default" w:ascii="Times New Roman" w:hAnsi="Times New Roman" w:eastAsia="黑体" w:cs="Times New Roman"/>
          <w:sz w:val="32"/>
          <w:szCs w:val="32"/>
        </w:rPr>
        <w:t>1</w:t>
      </w:r>
      <w:r>
        <w:rPr>
          <w:rFonts w:hint="eastAsia" w:ascii="Times New Roman" w:hAnsi="Times New Roman" w:eastAsia="黑体" w:cs="Times New Roman"/>
          <w:sz w:val="32"/>
          <w:szCs w:val="32"/>
          <w:lang w:val="en-US" w:eastAsia="zh-CN"/>
        </w:rPr>
        <w:t>9</w:t>
      </w:r>
      <w:r>
        <w:rPr>
          <w:rFonts w:hint="default" w:ascii="Times New Roman" w:hAnsi="Times New Roman" w:eastAsia="黑体" w:cs="Times New Roman"/>
          <w:sz w:val="32"/>
          <w:szCs w:val="32"/>
        </w:rPr>
        <w:t>.附</w:t>
      </w:r>
      <w:r>
        <w:rPr>
          <w:rFonts w:hint="eastAsia" w:ascii="Times New Roman" w:hAnsi="Times New Roman" w:eastAsia="黑体" w:cs="Times New Roman"/>
          <w:sz w:val="32"/>
          <w:szCs w:val="32"/>
          <w:lang w:val="en-US" w:eastAsia="zh-CN"/>
        </w:rPr>
        <w:t>图</w:t>
      </w:r>
      <w:bookmarkEnd w:id="263"/>
      <w:bookmarkEnd w:id="264"/>
    </w:p>
    <w:p w14:paraId="7C4B1B66">
      <w:pPr>
        <w:pStyle w:val="18"/>
        <w:spacing w:line="288" w:lineRule="auto"/>
        <w:ind w:firstLine="0" w:firstLineChars="0"/>
        <w:jc w:val="center"/>
        <w:rPr>
          <w:rFonts w:hint="default" w:ascii="Times New Roman" w:hAnsi="Times New Roman" w:eastAsia="黑体" w:cs="Times New Roman"/>
          <w:b/>
          <w:bCs/>
          <w:color w:val="333333"/>
          <w:spacing w:val="8"/>
          <w:szCs w:val="21"/>
          <w:lang w:eastAsia="zh-CN"/>
        </w:rPr>
      </w:pPr>
      <w:r>
        <w:rPr>
          <w:rFonts w:hint="default" w:ascii="Times New Roman" w:hAnsi="Times New Roman" w:eastAsia="黑体" w:cs="Times New Roman"/>
          <w:b/>
          <w:bCs/>
          <w:color w:val="333333"/>
          <w:spacing w:val="8"/>
          <w:szCs w:val="21"/>
          <w:lang w:eastAsia="zh-CN"/>
        </w:rPr>
        <w:drawing>
          <wp:inline distT="0" distB="0" distL="114300" distR="114300">
            <wp:extent cx="5831840" cy="5056505"/>
            <wp:effectExtent l="0" t="0" r="16510" b="10795"/>
            <wp:docPr id="6" name="图片 6" descr="F:/28、鸡东成片开发/鸡东县成片开发/02数据处理/鸡东县成片开发范围三调图图.jpg鸡东县成片开发范围三调图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28、鸡东成片开发/鸡东县成片开发/02数据处理/鸡东县成片开发范围三调图图.jpg鸡东县成片开发范围三调图图"/>
                    <pic:cNvPicPr>
                      <a:picLocks noChangeAspect="1"/>
                    </pic:cNvPicPr>
                  </pic:nvPicPr>
                  <pic:blipFill>
                    <a:blip r:embed="rId7"/>
                    <a:srcRect l="25" r="25"/>
                    <a:stretch>
                      <a:fillRect/>
                    </a:stretch>
                  </pic:blipFill>
                  <pic:spPr>
                    <a:xfrm>
                      <a:off x="0" y="0"/>
                      <a:ext cx="5831840" cy="5056505"/>
                    </a:xfrm>
                    <a:prstGeom prst="rect">
                      <a:avLst/>
                    </a:prstGeom>
                  </pic:spPr>
                </pic:pic>
              </a:graphicData>
            </a:graphic>
          </wp:inline>
        </w:drawing>
      </w:r>
      <w:r>
        <w:rPr>
          <w:rFonts w:hint="default" w:ascii="Times New Roman" w:hAnsi="Times New Roman" w:eastAsia="黑体" w:cs="Times New Roman"/>
          <w:b/>
          <w:bCs/>
          <w:color w:val="333333"/>
          <w:spacing w:val="8"/>
          <w:szCs w:val="21"/>
          <w:lang w:eastAsia="zh-CN"/>
        </w:rPr>
        <w:drawing>
          <wp:inline distT="0" distB="0" distL="114300" distR="114300">
            <wp:extent cx="6372225" cy="5523230"/>
            <wp:effectExtent l="0" t="0" r="9525" b="1270"/>
            <wp:docPr id="5" name="图片 5" descr="F:/28、鸡东成片开发/鸡东县成片开发/02数据处理/鸡东县成片开发范围影像图.jpg鸡东县成片开发范围影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28、鸡东成片开发/鸡东县成片开发/02数据处理/鸡东县成片开发范围影像图.jpg鸡东县成片开发范围影像图"/>
                    <pic:cNvPicPr>
                      <a:picLocks noChangeAspect="1"/>
                    </pic:cNvPicPr>
                  </pic:nvPicPr>
                  <pic:blipFill>
                    <a:blip r:embed="rId8"/>
                    <a:srcRect l="11" r="11"/>
                    <a:stretch>
                      <a:fillRect/>
                    </a:stretch>
                  </pic:blipFill>
                  <pic:spPr>
                    <a:xfrm>
                      <a:off x="0" y="0"/>
                      <a:ext cx="6372225" cy="5523230"/>
                    </a:xfrm>
                    <a:prstGeom prst="rect">
                      <a:avLst/>
                    </a:prstGeom>
                  </pic:spPr>
                </pic:pic>
              </a:graphicData>
            </a:graphic>
          </wp:inline>
        </w:drawing>
      </w:r>
      <w:r>
        <w:rPr>
          <w:rFonts w:hint="default" w:ascii="Times New Roman" w:hAnsi="Times New Roman" w:eastAsia="黑体" w:cs="Times New Roman"/>
          <w:b/>
          <w:bCs/>
          <w:color w:val="333333"/>
          <w:spacing w:val="8"/>
          <w:szCs w:val="21"/>
          <w:lang w:eastAsia="zh-CN"/>
        </w:rPr>
        <w:drawing>
          <wp:inline distT="0" distB="0" distL="114300" distR="114300">
            <wp:extent cx="6372225" cy="5523230"/>
            <wp:effectExtent l="0" t="0" r="9525" b="1270"/>
            <wp:docPr id="2" name="图片 2" descr="F:/28、鸡东成片开发/鸡东县成片开发/02数据处理/鸡东县成片开发位置与三线对比图.jpg鸡东县成片开发位置与三线对比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28、鸡东成片开发/鸡东县成片开发/02数据处理/鸡东县成片开发位置与三线对比图.jpg鸡东县成片开发位置与三线对比图"/>
                    <pic:cNvPicPr>
                      <a:picLocks noChangeAspect="1"/>
                    </pic:cNvPicPr>
                  </pic:nvPicPr>
                  <pic:blipFill>
                    <a:blip r:embed="rId9"/>
                    <a:srcRect l="11" r="11"/>
                    <a:stretch>
                      <a:fillRect/>
                    </a:stretch>
                  </pic:blipFill>
                  <pic:spPr>
                    <a:xfrm>
                      <a:off x="0" y="0"/>
                      <a:ext cx="6372225" cy="5523230"/>
                    </a:xfrm>
                    <a:prstGeom prst="rect">
                      <a:avLst/>
                    </a:prstGeom>
                  </pic:spPr>
                </pic:pic>
              </a:graphicData>
            </a:graphic>
          </wp:inline>
        </w:drawing>
      </w:r>
    </w:p>
    <w:sectPr>
      <w:pgSz w:w="16838" w:h="11906" w:orient="landscape"/>
      <w:pgMar w:top="1587" w:right="1440" w:bottom="1587" w:left="1440" w:header="851" w:footer="992" w:gutter="0"/>
      <w:pgBorders>
        <w:top w:val="none" w:sz="0" w:space="0"/>
        <w:left w:val="none" w:sz="0" w:space="0"/>
        <w:bottom w:val="none" w:sz="0" w:space="0"/>
        <w:right w:val="none" w:sz="0" w:space="0"/>
      </w:pgBorders>
      <w:cols w:space="0" w:num="1"/>
      <w:rtlGutter w:val="0"/>
      <w:docGrid w:type="lines" w:linePitch="3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18030">
    <w:altName w:val="仿宋"/>
    <w:panose1 w:val="02000000000000000000"/>
    <w:charset w:val="86"/>
    <w:family w:val="auto"/>
    <w:pitch w:val="default"/>
    <w:sig w:usb0="00000000" w:usb1="00000000" w:usb2="00000000" w:usb3="00000000" w:csb0="00040000" w:csb1="00000000"/>
  </w:font>
  <w:font w:name="方正楷体_GB2312">
    <w:altName w:val="宋体"/>
    <w:panose1 w:val="02000000000000000000"/>
    <w:charset w:val="86"/>
    <w:family w:val="auto"/>
    <w:pitch w:val="default"/>
    <w:sig w:usb0="00000000" w:usb1="00000000" w:usb2="00000012" w:usb3="00000000" w:csb0="00040001" w:csb1="00000000"/>
  </w:font>
  <w:font w:name="Arial Rounded MT Bold">
    <w:panose1 w:val="020F0704030504030204"/>
    <w:charset w:val="00"/>
    <w:family w:val="auto"/>
    <w:pitch w:val="default"/>
    <w:sig w:usb0="00000003" w:usb1="00000000" w:usb2="00000000" w:usb3="00000000" w:csb0="2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D871B">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99CF5">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9AB5D8">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3B9AB5D8">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0"/>
  <w:bordersDoNotSurroundFooter w:val="0"/>
  <w:documentProtection w:enforcement="0"/>
  <w:defaultTabStop w:val="42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zNjkwOWJiNjEyMWZkNDAyNjgyNjAwYzYzYmZkZDEifQ=="/>
  </w:docVars>
  <w:rsids>
    <w:rsidRoot w:val="00172A27"/>
    <w:rsid w:val="00080E9C"/>
    <w:rsid w:val="001673AF"/>
    <w:rsid w:val="0019393C"/>
    <w:rsid w:val="0030386E"/>
    <w:rsid w:val="006F4EB9"/>
    <w:rsid w:val="00842D3D"/>
    <w:rsid w:val="009254AA"/>
    <w:rsid w:val="00A4350B"/>
    <w:rsid w:val="00AD7670"/>
    <w:rsid w:val="00DE4398"/>
    <w:rsid w:val="00E103F2"/>
    <w:rsid w:val="00E617C9"/>
    <w:rsid w:val="00EB1C84"/>
    <w:rsid w:val="00ED2EE1"/>
    <w:rsid w:val="00EF5CED"/>
    <w:rsid w:val="01042A0B"/>
    <w:rsid w:val="01254B05"/>
    <w:rsid w:val="013C104E"/>
    <w:rsid w:val="014D1D6F"/>
    <w:rsid w:val="016B76B3"/>
    <w:rsid w:val="017F6FF6"/>
    <w:rsid w:val="01875EC4"/>
    <w:rsid w:val="01963C7F"/>
    <w:rsid w:val="01A874AD"/>
    <w:rsid w:val="01B15B4D"/>
    <w:rsid w:val="01E57890"/>
    <w:rsid w:val="01F05BD1"/>
    <w:rsid w:val="020640B8"/>
    <w:rsid w:val="020F7B7E"/>
    <w:rsid w:val="021D4782"/>
    <w:rsid w:val="022A1BB9"/>
    <w:rsid w:val="02366F60"/>
    <w:rsid w:val="024602C2"/>
    <w:rsid w:val="025E6C6A"/>
    <w:rsid w:val="02743F39"/>
    <w:rsid w:val="02746BF5"/>
    <w:rsid w:val="0282044D"/>
    <w:rsid w:val="02B44857"/>
    <w:rsid w:val="02B825A9"/>
    <w:rsid w:val="02DD41B1"/>
    <w:rsid w:val="02E06194"/>
    <w:rsid w:val="03056DA0"/>
    <w:rsid w:val="03253FD9"/>
    <w:rsid w:val="035A0BF1"/>
    <w:rsid w:val="035F2867"/>
    <w:rsid w:val="03647A68"/>
    <w:rsid w:val="037D5851"/>
    <w:rsid w:val="038933AD"/>
    <w:rsid w:val="03AD7702"/>
    <w:rsid w:val="044F688C"/>
    <w:rsid w:val="045439B3"/>
    <w:rsid w:val="04644D0D"/>
    <w:rsid w:val="0482345E"/>
    <w:rsid w:val="04837289"/>
    <w:rsid w:val="04867DA7"/>
    <w:rsid w:val="04874623"/>
    <w:rsid w:val="04891C90"/>
    <w:rsid w:val="04910C30"/>
    <w:rsid w:val="04BC722A"/>
    <w:rsid w:val="04BD03B3"/>
    <w:rsid w:val="04C51DA8"/>
    <w:rsid w:val="04C81265"/>
    <w:rsid w:val="04DE5DB4"/>
    <w:rsid w:val="04DE7B5F"/>
    <w:rsid w:val="04E812ED"/>
    <w:rsid w:val="04EE3005"/>
    <w:rsid w:val="05084111"/>
    <w:rsid w:val="051261E1"/>
    <w:rsid w:val="05170BDC"/>
    <w:rsid w:val="05467D5B"/>
    <w:rsid w:val="056508FA"/>
    <w:rsid w:val="056C08DB"/>
    <w:rsid w:val="0587523A"/>
    <w:rsid w:val="058C7451"/>
    <w:rsid w:val="059733FD"/>
    <w:rsid w:val="05A14F91"/>
    <w:rsid w:val="05A80025"/>
    <w:rsid w:val="05A96CC6"/>
    <w:rsid w:val="05D662ED"/>
    <w:rsid w:val="05ED6429"/>
    <w:rsid w:val="05F6693A"/>
    <w:rsid w:val="05F8275C"/>
    <w:rsid w:val="06140A28"/>
    <w:rsid w:val="062467B4"/>
    <w:rsid w:val="066C3CAA"/>
    <w:rsid w:val="068F06C2"/>
    <w:rsid w:val="06911A77"/>
    <w:rsid w:val="06AE5C7E"/>
    <w:rsid w:val="06CC6FF0"/>
    <w:rsid w:val="06DB0F5B"/>
    <w:rsid w:val="06DE46EF"/>
    <w:rsid w:val="06E106A7"/>
    <w:rsid w:val="06EF564D"/>
    <w:rsid w:val="06FF510F"/>
    <w:rsid w:val="07034156"/>
    <w:rsid w:val="071F3A56"/>
    <w:rsid w:val="072234AF"/>
    <w:rsid w:val="073B4EA2"/>
    <w:rsid w:val="074762F7"/>
    <w:rsid w:val="074A06C9"/>
    <w:rsid w:val="076902BC"/>
    <w:rsid w:val="07AF458F"/>
    <w:rsid w:val="07BD3F5F"/>
    <w:rsid w:val="07CD1615"/>
    <w:rsid w:val="07D67357"/>
    <w:rsid w:val="07F05077"/>
    <w:rsid w:val="080E2034"/>
    <w:rsid w:val="084027A7"/>
    <w:rsid w:val="08412CE0"/>
    <w:rsid w:val="08621283"/>
    <w:rsid w:val="08980E61"/>
    <w:rsid w:val="08A13C26"/>
    <w:rsid w:val="08A371CF"/>
    <w:rsid w:val="08B23D70"/>
    <w:rsid w:val="08BF2BFC"/>
    <w:rsid w:val="08CA325A"/>
    <w:rsid w:val="08D801AB"/>
    <w:rsid w:val="093609D4"/>
    <w:rsid w:val="093A7267"/>
    <w:rsid w:val="093E12AB"/>
    <w:rsid w:val="095358A4"/>
    <w:rsid w:val="096C4F63"/>
    <w:rsid w:val="0977177D"/>
    <w:rsid w:val="099C0C87"/>
    <w:rsid w:val="09A91917"/>
    <w:rsid w:val="09BD46A3"/>
    <w:rsid w:val="09C07C5F"/>
    <w:rsid w:val="09F41CF4"/>
    <w:rsid w:val="09F43875"/>
    <w:rsid w:val="09F44207"/>
    <w:rsid w:val="09FD7B10"/>
    <w:rsid w:val="09FF6979"/>
    <w:rsid w:val="0A3711F9"/>
    <w:rsid w:val="0A593960"/>
    <w:rsid w:val="0A670558"/>
    <w:rsid w:val="0A6766BF"/>
    <w:rsid w:val="0A6B1830"/>
    <w:rsid w:val="0A713C1E"/>
    <w:rsid w:val="0A73514E"/>
    <w:rsid w:val="0A831C04"/>
    <w:rsid w:val="0A960BA9"/>
    <w:rsid w:val="0A9652E1"/>
    <w:rsid w:val="0A9C4101"/>
    <w:rsid w:val="0AAA62DB"/>
    <w:rsid w:val="0AB41B97"/>
    <w:rsid w:val="0AB71236"/>
    <w:rsid w:val="0ABB2680"/>
    <w:rsid w:val="0ABD0B70"/>
    <w:rsid w:val="0AD61B81"/>
    <w:rsid w:val="0AD95782"/>
    <w:rsid w:val="0AE5182C"/>
    <w:rsid w:val="0AE551FF"/>
    <w:rsid w:val="0AE72F71"/>
    <w:rsid w:val="0B071973"/>
    <w:rsid w:val="0B093D05"/>
    <w:rsid w:val="0B267AF2"/>
    <w:rsid w:val="0B2A3AE4"/>
    <w:rsid w:val="0B464611"/>
    <w:rsid w:val="0B585F24"/>
    <w:rsid w:val="0B5C3E34"/>
    <w:rsid w:val="0B6935B2"/>
    <w:rsid w:val="0B8213C1"/>
    <w:rsid w:val="0B93659C"/>
    <w:rsid w:val="0B970173"/>
    <w:rsid w:val="0BA200B3"/>
    <w:rsid w:val="0BAF4E54"/>
    <w:rsid w:val="0BB3061C"/>
    <w:rsid w:val="0BC7297B"/>
    <w:rsid w:val="0BF4406D"/>
    <w:rsid w:val="0C005084"/>
    <w:rsid w:val="0C023FE2"/>
    <w:rsid w:val="0C0314A4"/>
    <w:rsid w:val="0C1D0FC6"/>
    <w:rsid w:val="0C4F74F5"/>
    <w:rsid w:val="0C656D19"/>
    <w:rsid w:val="0C7344B1"/>
    <w:rsid w:val="0C747418"/>
    <w:rsid w:val="0C7D7143"/>
    <w:rsid w:val="0C7F2037"/>
    <w:rsid w:val="0C886EAB"/>
    <w:rsid w:val="0CBA24AA"/>
    <w:rsid w:val="0CD4592F"/>
    <w:rsid w:val="0CD97582"/>
    <w:rsid w:val="0CDA25D0"/>
    <w:rsid w:val="0CDC3352"/>
    <w:rsid w:val="0CEE6EAB"/>
    <w:rsid w:val="0CF20D2E"/>
    <w:rsid w:val="0CF64F10"/>
    <w:rsid w:val="0D02678E"/>
    <w:rsid w:val="0D205421"/>
    <w:rsid w:val="0D2D67C1"/>
    <w:rsid w:val="0D521137"/>
    <w:rsid w:val="0D94782A"/>
    <w:rsid w:val="0DAD1D88"/>
    <w:rsid w:val="0DC265B4"/>
    <w:rsid w:val="0E156B68"/>
    <w:rsid w:val="0E351B9D"/>
    <w:rsid w:val="0E456E02"/>
    <w:rsid w:val="0E694698"/>
    <w:rsid w:val="0E7D58C7"/>
    <w:rsid w:val="0E8E51F2"/>
    <w:rsid w:val="0EA54C6E"/>
    <w:rsid w:val="0EC13968"/>
    <w:rsid w:val="0EC51100"/>
    <w:rsid w:val="0EDD4842"/>
    <w:rsid w:val="0F0D3F10"/>
    <w:rsid w:val="0F13312B"/>
    <w:rsid w:val="0F1C4666"/>
    <w:rsid w:val="0F203DE2"/>
    <w:rsid w:val="0F220662"/>
    <w:rsid w:val="0F3A6D13"/>
    <w:rsid w:val="0F4F322A"/>
    <w:rsid w:val="0F734EFA"/>
    <w:rsid w:val="0FE7741D"/>
    <w:rsid w:val="0FED36FC"/>
    <w:rsid w:val="10203A6C"/>
    <w:rsid w:val="10447190"/>
    <w:rsid w:val="104C22BA"/>
    <w:rsid w:val="10520398"/>
    <w:rsid w:val="1054623F"/>
    <w:rsid w:val="109632C9"/>
    <w:rsid w:val="10CD76C8"/>
    <w:rsid w:val="10D41E94"/>
    <w:rsid w:val="10F806CD"/>
    <w:rsid w:val="114D09F8"/>
    <w:rsid w:val="118C2781"/>
    <w:rsid w:val="119C63B1"/>
    <w:rsid w:val="11D17508"/>
    <w:rsid w:val="11D2058B"/>
    <w:rsid w:val="11E44EC9"/>
    <w:rsid w:val="11E715C2"/>
    <w:rsid w:val="11F03FA9"/>
    <w:rsid w:val="11F06A97"/>
    <w:rsid w:val="120E650D"/>
    <w:rsid w:val="123218A4"/>
    <w:rsid w:val="1235034C"/>
    <w:rsid w:val="12386C7D"/>
    <w:rsid w:val="1240366A"/>
    <w:rsid w:val="12730A42"/>
    <w:rsid w:val="12847460"/>
    <w:rsid w:val="128B0427"/>
    <w:rsid w:val="12A17500"/>
    <w:rsid w:val="12A71A05"/>
    <w:rsid w:val="12B56AA3"/>
    <w:rsid w:val="12C40361"/>
    <w:rsid w:val="12E639BE"/>
    <w:rsid w:val="12F92E4C"/>
    <w:rsid w:val="132103AA"/>
    <w:rsid w:val="13211223"/>
    <w:rsid w:val="13245930"/>
    <w:rsid w:val="13341D00"/>
    <w:rsid w:val="133F6CCD"/>
    <w:rsid w:val="13713C4C"/>
    <w:rsid w:val="13796093"/>
    <w:rsid w:val="137C7B52"/>
    <w:rsid w:val="137F7883"/>
    <w:rsid w:val="13B108B3"/>
    <w:rsid w:val="13B63A15"/>
    <w:rsid w:val="13CA2FDC"/>
    <w:rsid w:val="13F11501"/>
    <w:rsid w:val="13F23E8F"/>
    <w:rsid w:val="14067033"/>
    <w:rsid w:val="14326FC9"/>
    <w:rsid w:val="14412071"/>
    <w:rsid w:val="145416CA"/>
    <w:rsid w:val="145911B7"/>
    <w:rsid w:val="1472541C"/>
    <w:rsid w:val="147A532B"/>
    <w:rsid w:val="147F539D"/>
    <w:rsid w:val="149B5FEA"/>
    <w:rsid w:val="14A16D5C"/>
    <w:rsid w:val="14B27425"/>
    <w:rsid w:val="14D70E0C"/>
    <w:rsid w:val="14F945B8"/>
    <w:rsid w:val="14FF4777"/>
    <w:rsid w:val="15192A7B"/>
    <w:rsid w:val="154443D5"/>
    <w:rsid w:val="155974A4"/>
    <w:rsid w:val="155C0610"/>
    <w:rsid w:val="1577637E"/>
    <w:rsid w:val="158C1432"/>
    <w:rsid w:val="15C732DB"/>
    <w:rsid w:val="15CE063D"/>
    <w:rsid w:val="15E95102"/>
    <w:rsid w:val="15FD6214"/>
    <w:rsid w:val="15FF5195"/>
    <w:rsid w:val="164D5A29"/>
    <w:rsid w:val="1662522A"/>
    <w:rsid w:val="166420FF"/>
    <w:rsid w:val="16D72924"/>
    <w:rsid w:val="16ED3853"/>
    <w:rsid w:val="17081314"/>
    <w:rsid w:val="172065E2"/>
    <w:rsid w:val="174B560F"/>
    <w:rsid w:val="175B6994"/>
    <w:rsid w:val="17642787"/>
    <w:rsid w:val="17773DA4"/>
    <w:rsid w:val="17870D0F"/>
    <w:rsid w:val="178D35C8"/>
    <w:rsid w:val="17A7173C"/>
    <w:rsid w:val="17AB037C"/>
    <w:rsid w:val="17B622FB"/>
    <w:rsid w:val="17C70888"/>
    <w:rsid w:val="18032795"/>
    <w:rsid w:val="180E0521"/>
    <w:rsid w:val="18127E42"/>
    <w:rsid w:val="1831063A"/>
    <w:rsid w:val="18391EC6"/>
    <w:rsid w:val="18721A3A"/>
    <w:rsid w:val="188134B8"/>
    <w:rsid w:val="189270E7"/>
    <w:rsid w:val="18964DA0"/>
    <w:rsid w:val="18A03D55"/>
    <w:rsid w:val="18B352B0"/>
    <w:rsid w:val="18C03BE0"/>
    <w:rsid w:val="18C95BF6"/>
    <w:rsid w:val="18D70C60"/>
    <w:rsid w:val="19103852"/>
    <w:rsid w:val="19331CE4"/>
    <w:rsid w:val="195920D8"/>
    <w:rsid w:val="195E1AB6"/>
    <w:rsid w:val="197D7D98"/>
    <w:rsid w:val="198C54F9"/>
    <w:rsid w:val="19960F97"/>
    <w:rsid w:val="19A20CF3"/>
    <w:rsid w:val="19D5193D"/>
    <w:rsid w:val="19D92807"/>
    <w:rsid w:val="19E10297"/>
    <w:rsid w:val="19E41A37"/>
    <w:rsid w:val="19F85124"/>
    <w:rsid w:val="1A00285B"/>
    <w:rsid w:val="1A215F97"/>
    <w:rsid w:val="1A28000F"/>
    <w:rsid w:val="1A2D17BB"/>
    <w:rsid w:val="1A3576C0"/>
    <w:rsid w:val="1A40083A"/>
    <w:rsid w:val="1A466604"/>
    <w:rsid w:val="1A5479FC"/>
    <w:rsid w:val="1A5E3E22"/>
    <w:rsid w:val="1A6616FD"/>
    <w:rsid w:val="1A750A6F"/>
    <w:rsid w:val="1A7538FE"/>
    <w:rsid w:val="1A8872E7"/>
    <w:rsid w:val="1A911D3C"/>
    <w:rsid w:val="1A942D43"/>
    <w:rsid w:val="1A995F25"/>
    <w:rsid w:val="1AA76B47"/>
    <w:rsid w:val="1AAA0EB9"/>
    <w:rsid w:val="1AAA7C50"/>
    <w:rsid w:val="1AB67028"/>
    <w:rsid w:val="1ABB5777"/>
    <w:rsid w:val="1AC3692A"/>
    <w:rsid w:val="1AD93E1E"/>
    <w:rsid w:val="1B005CA7"/>
    <w:rsid w:val="1B0D73EC"/>
    <w:rsid w:val="1B1829E1"/>
    <w:rsid w:val="1B297612"/>
    <w:rsid w:val="1BBC03E3"/>
    <w:rsid w:val="1BC35B07"/>
    <w:rsid w:val="1BC35DF5"/>
    <w:rsid w:val="1BC4018F"/>
    <w:rsid w:val="1BD01CD5"/>
    <w:rsid w:val="1BD46551"/>
    <w:rsid w:val="1BDB4585"/>
    <w:rsid w:val="1BE75582"/>
    <w:rsid w:val="1BEF21E6"/>
    <w:rsid w:val="1BF63B72"/>
    <w:rsid w:val="1C1165BC"/>
    <w:rsid w:val="1C275D99"/>
    <w:rsid w:val="1C2A6C2E"/>
    <w:rsid w:val="1C3D6530"/>
    <w:rsid w:val="1C63351B"/>
    <w:rsid w:val="1C6C2589"/>
    <w:rsid w:val="1C7027B9"/>
    <w:rsid w:val="1C862E71"/>
    <w:rsid w:val="1C9D301D"/>
    <w:rsid w:val="1CA4418C"/>
    <w:rsid w:val="1CA96251"/>
    <w:rsid w:val="1CBF2C55"/>
    <w:rsid w:val="1CC40B0B"/>
    <w:rsid w:val="1CD0377A"/>
    <w:rsid w:val="1D0B5E54"/>
    <w:rsid w:val="1D0E5D1E"/>
    <w:rsid w:val="1D1868F5"/>
    <w:rsid w:val="1D3F1E0A"/>
    <w:rsid w:val="1D3F70BC"/>
    <w:rsid w:val="1D50708B"/>
    <w:rsid w:val="1D5232E9"/>
    <w:rsid w:val="1D7B3511"/>
    <w:rsid w:val="1D961A50"/>
    <w:rsid w:val="1D9C4C7C"/>
    <w:rsid w:val="1DC21B9A"/>
    <w:rsid w:val="1DE57ED9"/>
    <w:rsid w:val="1E196DA5"/>
    <w:rsid w:val="1E1E4F79"/>
    <w:rsid w:val="1E361758"/>
    <w:rsid w:val="1E387785"/>
    <w:rsid w:val="1E67650C"/>
    <w:rsid w:val="1E706A68"/>
    <w:rsid w:val="1E982927"/>
    <w:rsid w:val="1EAF415B"/>
    <w:rsid w:val="1EB14160"/>
    <w:rsid w:val="1EC83F2C"/>
    <w:rsid w:val="1EC943EA"/>
    <w:rsid w:val="1ED06242"/>
    <w:rsid w:val="1EFD4D54"/>
    <w:rsid w:val="1F1A6E56"/>
    <w:rsid w:val="1F220A99"/>
    <w:rsid w:val="1F246356"/>
    <w:rsid w:val="1F2754A6"/>
    <w:rsid w:val="1F4275B2"/>
    <w:rsid w:val="1F62533A"/>
    <w:rsid w:val="1F6B3B5E"/>
    <w:rsid w:val="1F882FF2"/>
    <w:rsid w:val="1F9F4380"/>
    <w:rsid w:val="1F9F4B80"/>
    <w:rsid w:val="1FA10B75"/>
    <w:rsid w:val="1FEF0971"/>
    <w:rsid w:val="1FF13588"/>
    <w:rsid w:val="1FF740BD"/>
    <w:rsid w:val="20024B61"/>
    <w:rsid w:val="201F2EA1"/>
    <w:rsid w:val="202A6888"/>
    <w:rsid w:val="203B0FB7"/>
    <w:rsid w:val="20543299"/>
    <w:rsid w:val="206547FA"/>
    <w:rsid w:val="206A6B9C"/>
    <w:rsid w:val="208417B9"/>
    <w:rsid w:val="2093453A"/>
    <w:rsid w:val="20BA11DE"/>
    <w:rsid w:val="20D70703"/>
    <w:rsid w:val="20EF4183"/>
    <w:rsid w:val="210115C1"/>
    <w:rsid w:val="21222B57"/>
    <w:rsid w:val="21301C19"/>
    <w:rsid w:val="2130749E"/>
    <w:rsid w:val="21605A23"/>
    <w:rsid w:val="216C7763"/>
    <w:rsid w:val="216E446A"/>
    <w:rsid w:val="219C4B33"/>
    <w:rsid w:val="21A13955"/>
    <w:rsid w:val="21A419AB"/>
    <w:rsid w:val="21AB121A"/>
    <w:rsid w:val="21AB4DF5"/>
    <w:rsid w:val="21CA7749"/>
    <w:rsid w:val="21CB27F1"/>
    <w:rsid w:val="21F47CB5"/>
    <w:rsid w:val="220959EF"/>
    <w:rsid w:val="220E3CD9"/>
    <w:rsid w:val="220F79FB"/>
    <w:rsid w:val="221E0366"/>
    <w:rsid w:val="221E10E5"/>
    <w:rsid w:val="22266A28"/>
    <w:rsid w:val="223A409D"/>
    <w:rsid w:val="22505B59"/>
    <w:rsid w:val="22576CAC"/>
    <w:rsid w:val="225B679C"/>
    <w:rsid w:val="226A69DF"/>
    <w:rsid w:val="22AD4B1E"/>
    <w:rsid w:val="22B40E43"/>
    <w:rsid w:val="22B42350"/>
    <w:rsid w:val="23340F84"/>
    <w:rsid w:val="23385E86"/>
    <w:rsid w:val="233C3173"/>
    <w:rsid w:val="233E17D0"/>
    <w:rsid w:val="237F2B16"/>
    <w:rsid w:val="23892E19"/>
    <w:rsid w:val="23957F11"/>
    <w:rsid w:val="23B33E8E"/>
    <w:rsid w:val="23CD2D1F"/>
    <w:rsid w:val="23CD510E"/>
    <w:rsid w:val="23D16B34"/>
    <w:rsid w:val="23D3113D"/>
    <w:rsid w:val="23F33CF9"/>
    <w:rsid w:val="23F40E8F"/>
    <w:rsid w:val="23F94D6C"/>
    <w:rsid w:val="23FB2050"/>
    <w:rsid w:val="24083684"/>
    <w:rsid w:val="2430735E"/>
    <w:rsid w:val="243B1825"/>
    <w:rsid w:val="24521E21"/>
    <w:rsid w:val="24561911"/>
    <w:rsid w:val="245B0CD5"/>
    <w:rsid w:val="245F32D7"/>
    <w:rsid w:val="248A23B6"/>
    <w:rsid w:val="24995C8C"/>
    <w:rsid w:val="24AD435C"/>
    <w:rsid w:val="24BA5713"/>
    <w:rsid w:val="250640EB"/>
    <w:rsid w:val="250E2D5D"/>
    <w:rsid w:val="25113A8A"/>
    <w:rsid w:val="25297CA4"/>
    <w:rsid w:val="25497CC0"/>
    <w:rsid w:val="2557333E"/>
    <w:rsid w:val="255A3D02"/>
    <w:rsid w:val="256D75B5"/>
    <w:rsid w:val="25726646"/>
    <w:rsid w:val="258A572F"/>
    <w:rsid w:val="259F2E44"/>
    <w:rsid w:val="25AA6EAB"/>
    <w:rsid w:val="25C44357"/>
    <w:rsid w:val="25D17B9A"/>
    <w:rsid w:val="25D4528C"/>
    <w:rsid w:val="25E116AE"/>
    <w:rsid w:val="25E219CD"/>
    <w:rsid w:val="260776C1"/>
    <w:rsid w:val="260D4251"/>
    <w:rsid w:val="262311E9"/>
    <w:rsid w:val="2628623C"/>
    <w:rsid w:val="264A46D1"/>
    <w:rsid w:val="264C5232"/>
    <w:rsid w:val="265621F6"/>
    <w:rsid w:val="265C7550"/>
    <w:rsid w:val="266B675C"/>
    <w:rsid w:val="266D34A4"/>
    <w:rsid w:val="267F725E"/>
    <w:rsid w:val="269E0CA3"/>
    <w:rsid w:val="26AB4DCF"/>
    <w:rsid w:val="26CB6155"/>
    <w:rsid w:val="26D0778A"/>
    <w:rsid w:val="26EC11D4"/>
    <w:rsid w:val="270958D0"/>
    <w:rsid w:val="27463D54"/>
    <w:rsid w:val="277A04D2"/>
    <w:rsid w:val="27814EF7"/>
    <w:rsid w:val="278447A4"/>
    <w:rsid w:val="278E5A4F"/>
    <w:rsid w:val="278F0C96"/>
    <w:rsid w:val="27942039"/>
    <w:rsid w:val="27AC3BAA"/>
    <w:rsid w:val="27B568EB"/>
    <w:rsid w:val="27C16042"/>
    <w:rsid w:val="27CC1EEA"/>
    <w:rsid w:val="27D94460"/>
    <w:rsid w:val="27E76604"/>
    <w:rsid w:val="27EC4416"/>
    <w:rsid w:val="2804462F"/>
    <w:rsid w:val="285B524A"/>
    <w:rsid w:val="286B4C02"/>
    <w:rsid w:val="286E3BC6"/>
    <w:rsid w:val="28A77A2A"/>
    <w:rsid w:val="28C2425F"/>
    <w:rsid w:val="28CD0F65"/>
    <w:rsid w:val="28CD6CD8"/>
    <w:rsid w:val="28EC3768"/>
    <w:rsid w:val="290B259E"/>
    <w:rsid w:val="29127DD1"/>
    <w:rsid w:val="292A3A33"/>
    <w:rsid w:val="29497587"/>
    <w:rsid w:val="29534671"/>
    <w:rsid w:val="29801E35"/>
    <w:rsid w:val="299A22A0"/>
    <w:rsid w:val="299C33C3"/>
    <w:rsid w:val="299F4469"/>
    <w:rsid w:val="29B816E7"/>
    <w:rsid w:val="29CE5ACA"/>
    <w:rsid w:val="29F16A93"/>
    <w:rsid w:val="2A08764A"/>
    <w:rsid w:val="2A1F1400"/>
    <w:rsid w:val="2A27399A"/>
    <w:rsid w:val="2A295D76"/>
    <w:rsid w:val="2A4304F1"/>
    <w:rsid w:val="2A690EB8"/>
    <w:rsid w:val="2A6A3750"/>
    <w:rsid w:val="2A6F0FD8"/>
    <w:rsid w:val="2A886D1B"/>
    <w:rsid w:val="2A911A51"/>
    <w:rsid w:val="2AA817EF"/>
    <w:rsid w:val="2AAE3A4E"/>
    <w:rsid w:val="2AD8285D"/>
    <w:rsid w:val="2AE83393"/>
    <w:rsid w:val="2AF4230F"/>
    <w:rsid w:val="2B031924"/>
    <w:rsid w:val="2B0676C6"/>
    <w:rsid w:val="2B0C0583"/>
    <w:rsid w:val="2B304B62"/>
    <w:rsid w:val="2B483AC4"/>
    <w:rsid w:val="2B614A4B"/>
    <w:rsid w:val="2B8D25CF"/>
    <w:rsid w:val="2BA6170E"/>
    <w:rsid w:val="2BC51EB5"/>
    <w:rsid w:val="2BFF3AE1"/>
    <w:rsid w:val="2C132183"/>
    <w:rsid w:val="2C222F19"/>
    <w:rsid w:val="2C306ED3"/>
    <w:rsid w:val="2C337E74"/>
    <w:rsid w:val="2C554851"/>
    <w:rsid w:val="2C741CAC"/>
    <w:rsid w:val="2C750EF6"/>
    <w:rsid w:val="2C7C3EDF"/>
    <w:rsid w:val="2C84556E"/>
    <w:rsid w:val="2C87111D"/>
    <w:rsid w:val="2C974875"/>
    <w:rsid w:val="2CB35427"/>
    <w:rsid w:val="2CB515F1"/>
    <w:rsid w:val="2CD817D0"/>
    <w:rsid w:val="2CD91AC4"/>
    <w:rsid w:val="2D012636"/>
    <w:rsid w:val="2D0F20FF"/>
    <w:rsid w:val="2D1A6C23"/>
    <w:rsid w:val="2D2A0548"/>
    <w:rsid w:val="2D4358CC"/>
    <w:rsid w:val="2D4D7D73"/>
    <w:rsid w:val="2D681F9D"/>
    <w:rsid w:val="2D8A36CE"/>
    <w:rsid w:val="2D922AF9"/>
    <w:rsid w:val="2DB33930"/>
    <w:rsid w:val="2DD64BED"/>
    <w:rsid w:val="2E0C06F1"/>
    <w:rsid w:val="2E0D77F3"/>
    <w:rsid w:val="2E1C539B"/>
    <w:rsid w:val="2E4C007B"/>
    <w:rsid w:val="2E7B7120"/>
    <w:rsid w:val="2E9F0573"/>
    <w:rsid w:val="2EBA0733"/>
    <w:rsid w:val="2EBF7382"/>
    <w:rsid w:val="2EC57342"/>
    <w:rsid w:val="2ED734AD"/>
    <w:rsid w:val="2EE1314F"/>
    <w:rsid w:val="2EEE65A7"/>
    <w:rsid w:val="2F087CAC"/>
    <w:rsid w:val="2F192FE3"/>
    <w:rsid w:val="2F2443BA"/>
    <w:rsid w:val="2F491B17"/>
    <w:rsid w:val="2F495C8D"/>
    <w:rsid w:val="2F570882"/>
    <w:rsid w:val="2F703271"/>
    <w:rsid w:val="2FA959AC"/>
    <w:rsid w:val="2FB1574A"/>
    <w:rsid w:val="2FB61500"/>
    <w:rsid w:val="2FBE4D42"/>
    <w:rsid w:val="2FC25A03"/>
    <w:rsid w:val="2FC95448"/>
    <w:rsid w:val="2FD841EE"/>
    <w:rsid w:val="2FED0B1E"/>
    <w:rsid w:val="2FFD56CC"/>
    <w:rsid w:val="2FFF65CD"/>
    <w:rsid w:val="300761B5"/>
    <w:rsid w:val="303F3688"/>
    <w:rsid w:val="305C32FF"/>
    <w:rsid w:val="30630027"/>
    <w:rsid w:val="306C7DC6"/>
    <w:rsid w:val="30775158"/>
    <w:rsid w:val="308E0C30"/>
    <w:rsid w:val="30B009C8"/>
    <w:rsid w:val="30C53E57"/>
    <w:rsid w:val="30DA76A0"/>
    <w:rsid w:val="30F7407D"/>
    <w:rsid w:val="31011B1F"/>
    <w:rsid w:val="31070819"/>
    <w:rsid w:val="31091AB9"/>
    <w:rsid w:val="31466AED"/>
    <w:rsid w:val="316164CC"/>
    <w:rsid w:val="31AD0B09"/>
    <w:rsid w:val="31B7224A"/>
    <w:rsid w:val="31CE61FE"/>
    <w:rsid w:val="31E15ABF"/>
    <w:rsid w:val="31F4367C"/>
    <w:rsid w:val="320C1861"/>
    <w:rsid w:val="320E4C94"/>
    <w:rsid w:val="324815BF"/>
    <w:rsid w:val="324852A1"/>
    <w:rsid w:val="325423B5"/>
    <w:rsid w:val="32580D2A"/>
    <w:rsid w:val="32960AEE"/>
    <w:rsid w:val="329865B8"/>
    <w:rsid w:val="32A051C5"/>
    <w:rsid w:val="32BB5803"/>
    <w:rsid w:val="32C73C8E"/>
    <w:rsid w:val="32DB5A1B"/>
    <w:rsid w:val="32EC0F0A"/>
    <w:rsid w:val="32F8145F"/>
    <w:rsid w:val="33134418"/>
    <w:rsid w:val="3313755E"/>
    <w:rsid w:val="33174961"/>
    <w:rsid w:val="333B76F3"/>
    <w:rsid w:val="33401D5F"/>
    <w:rsid w:val="334D5568"/>
    <w:rsid w:val="335402B5"/>
    <w:rsid w:val="335F3D56"/>
    <w:rsid w:val="33724349"/>
    <w:rsid w:val="33883B0D"/>
    <w:rsid w:val="33B13ED8"/>
    <w:rsid w:val="33B92D2B"/>
    <w:rsid w:val="33D35E7E"/>
    <w:rsid w:val="33D37375"/>
    <w:rsid w:val="33D37EAE"/>
    <w:rsid w:val="33D77C4D"/>
    <w:rsid w:val="33E00D92"/>
    <w:rsid w:val="34295FCE"/>
    <w:rsid w:val="3430053A"/>
    <w:rsid w:val="34325184"/>
    <w:rsid w:val="343914B9"/>
    <w:rsid w:val="343E007F"/>
    <w:rsid w:val="34454228"/>
    <w:rsid w:val="344965A9"/>
    <w:rsid w:val="346959F8"/>
    <w:rsid w:val="34766316"/>
    <w:rsid w:val="34951FE2"/>
    <w:rsid w:val="34984DD4"/>
    <w:rsid w:val="349E076A"/>
    <w:rsid w:val="34A51233"/>
    <w:rsid w:val="34A853EA"/>
    <w:rsid w:val="34CB3E5F"/>
    <w:rsid w:val="34D05EE4"/>
    <w:rsid w:val="34D9651A"/>
    <w:rsid w:val="34EB295E"/>
    <w:rsid w:val="34F63B23"/>
    <w:rsid w:val="34F860CC"/>
    <w:rsid w:val="350076F8"/>
    <w:rsid w:val="351647A5"/>
    <w:rsid w:val="35321C38"/>
    <w:rsid w:val="353441A1"/>
    <w:rsid w:val="356821A9"/>
    <w:rsid w:val="35716E29"/>
    <w:rsid w:val="35856D06"/>
    <w:rsid w:val="35864FBA"/>
    <w:rsid w:val="35A3072E"/>
    <w:rsid w:val="35AA580D"/>
    <w:rsid w:val="35C1629D"/>
    <w:rsid w:val="36060F3E"/>
    <w:rsid w:val="361909F0"/>
    <w:rsid w:val="36296BDA"/>
    <w:rsid w:val="365D63B9"/>
    <w:rsid w:val="366A793A"/>
    <w:rsid w:val="366B28CE"/>
    <w:rsid w:val="36B631EE"/>
    <w:rsid w:val="36B90010"/>
    <w:rsid w:val="36BA0B5D"/>
    <w:rsid w:val="36BA5F23"/>
    <w:rsid w:val="36C73B86"/>
    <w:rsid w:val="36CD286F"/>
    <w:rsid w:val="36DB2599"/>
    <w:rsid w:val="36E500A2"/>
    <w:rsid w:val="37203683"/>
    <w:rsid w:val="3729447F"/>
    <w:rsid w:val="374970B3"/>
    <w:rsid w:val="37550937"/>
    <w:rsid w:val="37B40B43"/>
    <w:rsid w:val="37BC3AC5"/>
    <w:rsid w:val="37C5059F"/>
    <w:rsid w:val="37C5703B"/>
    <w:rsid w:val="380F7809"/>
    <w:rsid w:val="381C2D74"/>
    <w:rsid w:val="38222218"/>
    <w:rsid w:val="382611A3"/>
    <w:rsid w:val="384F01E2"/>
    <w:rsid w:val="38543277"/>
    <w:rsid w:val="38640579"/>
    <w:rsid w:val="3874231F"/>
    <w:rsid w:val="38AC5B4C"/>
    <w:rsid w:val="38BE08F3"/>
    <w:rsid w:val="38CC671C"/>
    <w:rsid w:val="38E96F7A"/>
    <w:rsid w:val="390937F8"/>
    <w:rsid w:val="390C2146"/>
    <w:rsid w:val="394B763D"/>
    <w:rsid w:val="394D3284"/>
    <w:rsid w:val="3962418D"/>
    <w:rsid w:val="39654354"/>
    <w:rsid w:val="398B4D6E"/>
    <w:rsid w:val="39BD7225"/>
    <w:rsid w:val="39CD1750"/>
    <w:rsid w:val="39D17933"/>
    <w:rsid w:val="39E3523C"/>
    <w:rsid w:val="39E73FAA"/>
    <w:rsid w:val="39F8198E"/>
    <w:rsid w:val="3A005724"/>
    <w:rsid w:val="3A125E82"/>
    <w:rsid w:val="3A13210B"/>
    <w:rsid w:val="3A1833AB"/>
    <w:rsid w:val="3A205655"/>
    <w:rsid w:val="3A2560A7"/>
    <w:rsid w:val="3A371577"/>
    <w:rsid w:val="3A377BC2"/>
    <w:rsid w:val="3A3B3B7D"/>
    <w:rsid w:val="3A501C1F"/>
    <w:rsid w:val="3A583EA3"/>
    <w:rsid w:val="3A665E3F"/>
    <w:rsid w:val="3A8502BC"/>
    <w:rsid w:val="3A897BE5"/>
    <w:rsid w:val="3A916DA7"/>
    <w:rsid w:val="3A930B08"/>
    <w:rsid w:val="3A937911"/>
    <w:rsid w:val="3A9D5E5A"/>
    <w:rsid w:val="3ABA6BA7"/>
    <w:rsid w:val="3AD02C96"/>
    <w:rsid w:val="3AD2116E"/>
    <w:rsid w:val="3B005BAE"/>
    <w:rsid w:val="3B04403C"/>
    <w:rsid w:val="3B0D4B34"/>
    <w:rsid w:val="3B160814"/>
    <w:rsid w:val="3B191FB8"/>
    <w:rsid w:val="3B6A55BB"/>
    <w:rsid w:val="3B9E7857"/>
    <w:rsid w:val="3BBF425E"/>
    <w:rsid w:val="3BC94B23"/>
    <w:rsid w:val="3BF40B46"/>
    <w:rsid w:val="3BFA4F55"/>
    <w:rsid w:val="3C0F313B"/>
    <w:rsid w:val="3C1934F8"/>
    <w:rsid w:val="3C501BF4"/>
    <w:rsid w:val="3C5B3EED"/>
    <w:rsid w:val="3C5F55C6"/>
    <w:rsid w:val="3C803C16"/>
    <w:rsid w:val="3CBC1BAA"/>
    <w:rsid w:val="3CCD42E3"/>
    <w:rsid w:val="3CE41AE4"/>
    <w:rsid w:val="3D0A381C"/>
    <w:rsid w:val="3D22700C"/>
    <w:rsid w:val="3D2779DD"/>
    <w:rsid w:val="3D3853D0"/>
    <w:rsid w:val="3D874491"/>
    <w:rsid w:val="3DA11B28"/>
    <w:rsid w:val="3DB65EBF"/>
    <w:rsid w:val="3DCF4E27"/>
    <w:rsid w:val="3DDA0A65"/>
    <w:rsid w:val="3DE11DF4"/>
    <w:rsid w:val="3DFA26F0"/>
    <w:rsid w:val="3DFD0601"/>
    <w:rsid w:val="3E075FF4"/>
    <w:rsid w:val="3E0A5C0C"/>
    <w:rsid w:val="3E547C87"/>
    <w:rsid w:val="3E7D1CB3"/>
    <w:rsid w:val="3EA33A69"/>
    <w:rsid w:val="3EAD617A"/>
    <w:rsid w:val="3EAE3767"/>
    <w:rsid w:val="3EB92D70"/>
    <w:rsid w:val="3ECE38E1"/>
    <w:rsid w:val="3EE17BD1"/>
    <w:rsid w:val="3F343026"/>
    <w:rsid w:val="3F7B1309"/>
    <w:rsid w:val="3F7F3316"/>
    <w:rsid w:val="3F7F6E38"/>
    <w:rsid w:val="3F8B6915"/>
    <w:rsid w:val="3F8B7F6A"/>
    <w:rsid w:val="3F9C5F91"/>
    <w:rsid w:val="3FBD58FB"/>
    <w:rsid w:val="3FC15D53"/>
    <w:rsid w:val="3FC3164F"/>
    <w:rsid w:val="3FD55759"/>
    <w:rsid w:val="3FD634AE"/>
    <w:rsid w:val="3FDB7A08"/>
    <w:rsid w:val="3FDD59C7"/>
    <w:rsid w:val="3FE35C24"/>
    <w:rsid w:val="3FF11F29"/>
    <w:rsid w:val="3FFA2286"/>
    <w:rsid w:val="40042910"/>
    <w:rsid w:val="40190269"/>
    <w:rsid w:val="4025511F"/>
    <w:rsid w:val="40342703"/>
    <w:rsid w:val="40410AB9"/>
    <w:rsid w:val="405359D5"/>
    <w:rsid w:val="405A59AD"/>
    <w:rsid w:val="405C7E57"/>
    <w:rsid w:val="407229BD"/>
    <w:rsid w:val="407D380A"/>
    <w:rsid w:val="407D6B38"/>
    <w:rsid w:val="407F27A0"/>
    <w:rsid w:val="40804FE5"/>
    <w:rsid w:val="40C74DF5"/>
    <w:rsid w:val="40CE4185"/>
    <w:rsid w:val="41022034"/>
    <w:rsid w:val="410B7C9C"/>
    <w:rsid w:val="412064A2"/>
    <w:rsid w:val="41232723"/>
    <w:rsid w:val="41294368"/>
    <w:rsid w:val="41443B0A"/>
    <w:rsid w:val="4158310B"/>
    <w:rsid w:val="41752DCE"/>
    <w:rsid w:val="41816BB1"/>
    <w:rsid w:val="418D0368"/>
    <w:rsid w:val="419453CF"/>
    <w:rsid w:val="41C847C2"/>
    <w:rsid w:val="41FB0BB3"/>
    <w:rsid w:val="42032ACC"/>
    <w:rsid w:val="4213368E"/>
    <w:rsid w:val="421C096F"/>
    <w:rsid w:val="422E47D4"/>
    <w:rsid w:val="42312C1E"/>
    <w:rsid w:val="4250796A"/>
    <w:rsid w:val="42537A15"/>
    <w:rsid w:val="4257080E"/>
    <w:rsid w:val="4270352B"/>
    <w:rsid w:val="42C131FB"/>
    <w:rsid w:val="42D737C5"/>
    <w:rsid w:val="42DC702D"/>
    <w:rsid w:val="42E934F8"/>
    <w:rsid w:val="42ED3F96"/>
    <w:rsid w:val="42F00518"/>
    <w:rsid w:val="43060537"/>
    <w:rsid w:val="43092A55"/>
    <w:rsid w:val="43133CDE"/>
    <w:rsid w:val="43187E8B"/>
    <w:rsid w:val="432222DB"/>
    <w:rsid w:val="432A6C42"/>
    <w:rsid w:val="432E1E3B"/>
    <w:rsid w:val="434F2DF5"/>
    <w:rsid w:val="43536C91"/>
    <w:rsid w:val="436D27D1"/>
    <w:rsid w:val="437B668F"/>
    <w:rsid w:val="43890647"/>
    <w:rsid w:val="438C286B"/>
    <w:rsid w:val="43CC7435"/>
    <w:rsid w:val="43D67F21"/>
    <w:rsid w:val="43DD4E0B"/>
    <w:rsid w:val="43E47DDB"/>
    <w:rsid w:val="43F35365"/>
    <w:rsid w:val="43F36293"/>
    <w:rsid w:val="43F81A11"/>
    <w:rsid w:val="44132515"/>
    <w:rsid w:val="442605B4"/>
    <w:rsid w:val="44267CA6"/>
    <w:rsid w:val="44350404"/>
    <w:rsid w:val="444C3D3F"/>
    <w:rsid w:val="44506318"/>
    <w:rsid w:val="44553D96"/>
    <w:rsid w:val="447B6EB4"/>
    <w:rsid w:val="448736B1"/>
    <w:rsid w:val="44950A7E"/>
    <w:rsid w:val="44A76B9B"/>
    <w:rsid w:val="44DA57EF"/>
    <w:rsid w:val="44E55CB6"/>
    <w:rsid w:val="44EC1687"/>
    <w:rsid w:val="44F52D4F"/>
    <w:rsid w:val="44F56AFA"/>
    <w:rsid w:val="44FB4E0A"/>
    <w:rsid w:val="4501530E"/>
    <w:rsid w:val="45127CB9"/>
    <w:rsid w:val="451A1A98"/>
    <w:rsid w:val="451C1963"/>
    <w:rsid w:val="451C3BF0"/>
    <w:rsid w:val="45240818"/>
    <w:rsid w:val="45292ADB"/>
    <w:rsid w:val="452F0759"/>
    <w:rsid w:val="45572451"/>
    <w:rsid w:val="45641A5A"/>
    <w:rsid w:val="4564746E"/>
    <w:rsid w:val="45704F81"/>
    <w:rsid w:val="458F3F2F"/>
    <w:rsid w:val="45A27FBF"/>
    <w:rsid w:val="45AD4EC3"/>
    <w:rsid w:val="45B453FC"/>
    <w:rsid w:val="45DA477D"/>
    <w:rsid w:val="45E876C3"/>
    <w:rsid w:val="45F96148"/>
    <w:rsid w:val="45FB4075"/>
    <w:rsid w:val="45FF3799"/>
    <w:rsid w:val="460A4BD7"/>
    <w:rsid w:val="461770AD"/>
    <w:rsid w:val="463D6035"/>
    <w:rsid w:val="46492729"/>
    <w:rsid w:val="46694F98"/>
    <w:rsid w:val="46851EAB"/>
    <w:rsid w:val="46EC2FDD"/>
    <w:rsid w:val="46F25F81"/>
    <w:rsid w:val="46FF1D9B"/>
    <w:rsid w:val="47022E4D"/>
    <w:rsid w:val="47075C1B"/>
    <w:rsid w:val="471365AB"/>
    <w:rsid w:val="474A1CE4"/>
    <w:rsid w:val="474B0638"/>
    <w:rsid w:val="476B4E24"/>
    <w:rsid w:val="47955840"/>
    <w:rsid w:val="47AB4DBB"/>
    <w:rsid w:val="47B739B0"/>
    <w:rsid w:val="47C22C96"/>
    <w:rsid w:val="47CA3866"/>
    <w:rsid w:val="47DF7F53"/>
    <w:rsid w:val="47E744AA"/>
    <w:rsid w:val="47F045CA"/>
    <w:rsid w:val="482527D3"/>
    <w:rsid w:val="48284D0B"/>
    <w:rsid w:val="482F0B62"/>
    <w:rsid w:val="484520F7"/>
    <w:rsid w:val="484D38C1"/>
    <w:rsid w:val="485A3135"/>
    <w:rsid w:val="487A2442"/>
    <w:rsid w:val="48B1369C"/>
    <w:rsid w:val="48B2721A"/>
    <w:rsid w:val="48B84785"/>
    <w:rsid w:val="48B92DDD"/>
    <w:rsid w:val="48EB4E65"/>
    <w:rsid w:val="48F22587"/>
    <w:rsid w:val="490D6395"/>
    <w:rsid w:val="4987158C"/>
    <w:rsid w:val="49A317DF"/>
    <w:rsid w:val="49B45954"/>
    <w:rsid w:val="49C64DA6"/>
    <w:rsid w:val="4A056E6A"/>
    <w:rsid w:val="4A0E7A74"/>
    <w:rsid w:val="4A1A4253"/>
    <w:rsid w:val="4A1C40FF"/>
    <w:rsid w:val="4A5C5856"/>
    <w:rsid w:val="4A9B1706"/>
    <w:rsid w:val="4AB046F5"/>
    <w:rsid w:val="4ACA7C6E"/>
    <w:rsid w:val="4B003F13"/>
    <w:rsid w:val="4B0C00E2"/>
    <w:rsid w:val="4B481EFF"/>
    <w:rsid w:val="4B4A0B3D"/>
    <w:rsid w:val="4B4D2087"/>
    <w:rsid w:val="4B52755A"/>
    <w:rsid w:val="4B7D0FB1"/>
    <w:rsid w:val="4B8C78B6"/>
    <w:rsid w:val="4BA35A9D"/>
    <w:rsid w:val="4BAE5229"/>
    <w:rsid w:val="4BF60096"/>
    <w:rsid w:val="4BF6678D"/>
    <w:rsid w:val="4C167B7A"/>
    <w:rsid w:val="4C322B5D"/>
    <w:rsid w:val="4C4B6C0B"/>
    <w:rsid w:val="4C5650A4"/>
    <w:rsid w:val="4C5A07CA"/>
    <w:rsid w:val="4C5F28C4"/>
    <w:rsid w:val="4C5F5D1C"/>
    <w:rsid w:val="4C6D519A"/>
    <w:rsid w:val="4C6E596B"/>
    <w:rsid w:val="4C7243D4"/>
    <w:rsid w:val="4C772018"/>
    <w:rsid w:val="4CC56D84"/>
    <w:rsid w:val="4CCC75F4"/>
    <w:rsid w:val="4CD44E47"/>
    <w:rsid w:val="4CD9638C"/>
    <w:rsid w:val="4CDB7408"/>
    <w:rsid w:val="4CE86985"/>
    <w:rsid w:val="4D07114B"/>
    <w:rsid w:val="4D260FE9"/>
    <w:rsid w:val="4D354E86"/>
    <w:rsid w:val="4D475FBB"/>
    <w:rsid w:val="4D4C1163"/>
    <w:rsid w:val="4D5F0720"/>
    <w:rsid w:val="4D703843"/>
    <w:rsid w:val="4D8F2AB3"/>
    <w:rsid w:val="4D90451E"/>
    <w:rsid w:val="4DAF6063"/>
    <w:rsid w:val="4DBC6B05"/>
    <w:rsid w:val="4DCE4291"/>
    <w:rsid w:val="4E0028E6"/>
    <w:rsid w:val="4E164D65"/>
    <w:rsid w:val="4E2B5302"/>
    <w:rsid w:val="4E3159EE"/>
    <w:rsid w:val="4E623863"/>
    <w:rsid w:val="4E743225"/>
    <w:rsid w:val="4EAB56E4"/>
    <w:rsid w:val="4EAF3696"/>
    <w:rsid w:val="4EB41B20"/>
    <w:rsid w:val="4EC866B8"/>
    <w:rsid w:val="4ED057A7"/>
    <w:rsid w:val="4EF61477"/>
    <w:rsid w:val="4EFB1244"/>
    <w:rsid w:val="4F0F4B0A"/>
    <w:rsid w:val="4F1D2EA8"/>
    <w:rsid w:val="4F2064F4"/>
    <w:rsid w:val="4F6A6723"/>
    <w:rsid w:val="4F7E394E"/>
    <w:rsid w:val="4F7F342D"/>
    <w:rsid w:val="4F8E16AF"/>
    <w:rsid w:val="4F9322AD"/>
    <w:rsid w:val="4F9D72CF"/>
    <w:rsid w:val="4FAA2A0F"/>
    <w:rsid w:val="4FBA4AD6"/>
    <w:rsid w:val="4FC86546"/>
    <w:rsid w:val="4FE05989"/>
    <w:rsid w:val="4FF77255"/>
    <w:rsid w:val="50021E82"/>
    <w:rsid w:val="5028057D"/>
    <w:rsid w:val="50373100"/>
    <w:rsid w:val="5048062F"/>
    <w:rsid w:val="504B5222"/>
    <w:rsid w:val="506E3F2C"/>
    <w:rsid w:val="50883F59"/>
    <w:rsid w:val="508D5E0B"/>
    <w:rsid w:val="50A70C7B"/>
    <w:rsid w:val="50C8544D"/>
    <w:rsid w:val="50CC47A1"/>
    <w:rsid w:val="50DD23FB"/>
    <w:rsid w:val="50DF56B7"/>
    <w:rsid w:val="510B4F74"/>
    <w:rsid w:val="511C3D07"/>
    <w:rsid w:val="51251B4E"/>
    <w:rsid w:val="515A46EC"/>
    <w:rsid w:val="518615DA"/>
    <w:rsid w:val="51A92248"/>
    <w:rsid w:val="51D258D7"/>
    <w:rsid w:val="51E45D1D"/>
    <w:rsid w:val="51F362E4"/>
    <w:rsid w:val="51F60A0E"/>
    <w:rsid w:val="52377DDF"/>
    <w:rsid w:val="525E180D"/>
    <w:rsid w:val="5269154F"/>
    <w:rsid w:val="5269497B"/>
    <w:rsid w:val="52751448"/>
    <w:rsid w:val="52885234"/>
    <w:rsid w:val="528A525B"/>
    <w:rsid w:val="52C14D5D"/>
    <w:rsid w:val="52D3440C"/>
    <w:rsid w:val="52D90E94"/>
    <w:rsid w:val="52DA4079"/>
    <w:rsid w:val="52DF0A1B"/>
    <w:rsid w:val="52DF3116"/>
    <w:rsid w:val="52E9654A"/>
    <w:rsid w:val="52F823FE"/>
    <w:rsid w:val="52FD6B1E"/>
    <w:rsid w:val="530813D0"/>
    <w:rsid w:val="53195734"/>
    <w:rsid w:val="531A1A67"/>
    <w:rsid w:val="533D24C2"/>
    <w:rsid w:val="533D6640"/>
    <w:rsid w:val="53883426"/>
    <w:rsid w:val="538F20A6"/>
    <w:rsid w:val="53C13DC7"/>
    <w:rsid w:val="53D429AA"/>
    <w:rsid w:val="53D56F3C"/>
    <w:rsid w:val="53D637E3"/>
    <w:rsid w:val="53F343E8"/>
    <w:rsid w:val="53F55C91"/>
    <w:rsid w:val="54096C96"/>
    <w:rsid w:val="540B4957"/>
    <w:rsid w:val="5423723E"/>
    <w:rsid w:val="54257577"/>
    <w:rsid w:val="543E3E49"/>
    <w:rsid w:val="547E0169"/>
    <w:rsid w:val="54907DCD"/>
    <w:rsid w:val="549A4D30"/>
    <w:rsid w:val="54B71EF5"/>
    <w:rsid w:val="54C63581"/>
    <w:rsid w:val="54D14D69"/>
    <w:rsid w:val="54DB7CEC"/>
    <w:rsid w:val="550D751A"/>
    <w:rsid w:val="551817FE"/>
    <w:rsid w:val="55194A8A"/>
    <w:rsid w:val="553D5A82"/>
    <w:rsid w:val="55632593"/>
    <w:rsid w:val="55983768"/>
    <w:rsid w:val="55A4149D"/>
    <w:rsid w:val="55B00AB8"/>
    <w:rsid w:val="55C27CDD"/>
    <w:rsid w:val="55C46ECE"/>
    <w:rsid w:val="55F97E2E"/>
    <w:rsid w:val="55FF50B5"/>
    <w:rsid w:val="5600441B"/>
    <w:rsid w:val="561003C5"/>
    <w:rsid w:val="561912E8"/>
    <w:rsid w:val="56312326"/>
    <w:rsid w:val="564D46BD"/>
    <w:rsid w:val="56A638BB"/>
    <w:rsid w:val="56BC574B"/>
    <w:rsid w:val="56C32306"/>
    <w:rsid w:val="56CB4F97"/>
    <w:rsid w:val="56D074EC"/>
    <w:rsid w:val="56E10040"/>
    <w:rsid w:val="56EB21BB"/>
    <w:rsid w:val="57091098"/>
    <w:rsid w:val="57655010"/>
    <w:rsid w:val="57790F25"/>
    <w:rsid w:val="5781237C"/>
    <w:rsid w:val="57957487"/>
    <w:rsid w:val="579D0C35"/>
    <w:rsid w:val="57A05A6E"/>
    <w:rsid w:val="57B775F0"/>
    <w:rsid w:val="57E86681"/>
    <w:rsid w:val="57F21016"/>
    <w:rsid w:val="57F41C4D"/>
    <w:rsid w:val="57F846AB"/>
    <w:rsid w:val="57FD3876"/>
    <w:rsid w:val="58122CB8"/>
    <w:rsid w:val="58191D4A"/>
    <w:rsid w:val="581E4AAC"/>
    <w:rsid w:val="582B597E"/>
    <w:rsid w:val="58365D87"/>
    <w:rsid w:val="583E16A2"/>
    <w:rsid w:val="584719E1"/>
    <w:rsid w:val="58856723"/>
    <w:rsid w:val="589B4484"/>
    <w:rsid w:val="58B77EC9"/>
    <w:rsid w:val="58BE2689"/>
    <w:rsid w:val="58C919AA"/>
    <w:rsid w:val="58D00B3C"/>
    <w:rsid w:val="58E43915"/>
    <w:rsid w:val="58E56C6E"/>
    <w:rsid w:val="58FA517D"/>
    <w:rsid w:val="593C4E26"/>
    <w:rsid w:val="59584785"/>
    <w:rsid w:val="5977601C"/>
    <w:rsid w:val="59886B83"/>
    <w:rsid w:val="599F7B52"/>
    <w:rsid w:val="59AE55B8"/>
    <w:rsid w:val="59B0364A"/>
    <w:rsid w:val="59B85B4B"/>
    <w:rsid w:val="59CD67E8"/>
    <w:rsid w:val="59F20E54"/>
    <w:rsid w:val="5A112329"/>
    <w:rsid w:val="5A2C0C87"/>
    <w:rsid w:val="5A4412E8"/>
    <w:rsid w:val="5A5A2051"/>
    <w:rsid w:val="5A5B1C29"/>
    <w:rsid w:val="5A6202DA"/>
    <w:rsid w:val="5A747A00"/>
    <w:rsid w:val="5A814D57"/>
    <w:rsid w:val="5AA6091F"/>
    <w:rsid w:val="5AA61FA3"/>
    <w:rsid w:val="5AB9184C"/>
    <w:rsid w:val="5AC577EA"/>
    <w:rsid w:val="5AD064D6"/>
    <w:rsid w:val="5AD325D0"/>
    <w:rsid w:val="5AF7496A"/>
    <w:rsid w:val="5B020D2E"/>
    <w:rsid w:val="5B326EA9"/>
    <w:rsid w:val="5B48658E"/>
    <w:rsid w:val="5B535CD5"/>
    <w:rsid w:val="5B647760"/>
    <w:rsid w:val="5B7410AE"/>
    <w:rsid w:val="5BA45127"/>
    <w:rsid w:val="5BBB4634"/>
    <w:rsid w:val="5BC3570F"/>
    <w:rsid w:val="5BE72CB9"/>
    <w:rsid w:val="5C015135"/>
    <w:rsid w:val="5C1B6D2A"/>
    <w:rsid w:val="5C202E43"/>
    <w:rsid w:val="5C241814"/>
    <w:rsid w:val="5C427181"/>
    <w:rsid w:val="5C4F3D09"/>
    <w:rsid w:val="5C507F46"/>
    <w:rsid w:val="5C5B01E8"/>
    <w:rsid w:val="5C775CA3"/>
    <w:rsid w:val="5C79211C"/>
    <w:rsid w:val="5C7F4933"/>
    <w:rsid w:val="5C8F7445"/>
    <w:rsid w:val="5C922A6A"/>
    <w:rsid w:val="5C9E110B"/>
    <w:rsid w:val="5C9E5D61"/>
    <w:rsid w:val="5CAF29D6"/>
    <w:rsid w:val="5CBB6401"/>
    <w:rsid w:val="5CC622D0"/>
    <w:rsid w:val="5D277DCF"/>
    <w:rsid w:val="5D306B41"/>
    <w:rsid w:val="5D3C76F3"/>
    <w:rsid w:val="5D491DEF"/>
    <w:rsid w:val="5D716DC3"/>
    <w:rsid w:val="5D7647F6"/>
    <w:rsid w:val="5DB3770C"/>
    <w:rsid w:val="5DDB0ACA"/>
    <w:rsid w:val="5DE63199"/>
    <w:rsid w:val="5DF57742"/>
    <w:rsid w:val="5DF732A3"/>
    <w:rsid w:val="5DFC639A"/>
    <w:rsid w:val="5E051E14"/>
    <w:rsid w:val="5E0A7399"/>
    <w:rsid w:val="5E0F2632"/>
    <w:rsid w:val="5E164059"/>
    <w:rsid w:val="5E4E4E2C"/>
    <w:rsid w:val="5E4F2990"/>
    <w:rsid w:val="5E66112F"/>
    <w:rsid w:val="5E742F1F"/>
    <w:rsid w:val="5E7C48F9"/>
    <w:rsid w:val="5E9A1E1F"/>
    <w:rsid w:val="5EA93E10"/>
    <w:rsid w:val="5EC87713"/>
    <w:rsid w:val="5ED22FD4"/>
    <w:rsid w:val="5EE35BD2"/>
    <w:rsid w:val="5EE64D9C"/>
    <w:rsid w:val="5EF05EE3"/>
    <w:rsid w:val="5F0E7EFC"/>
    <w:rsid w:val="5F1D4ED4"/>
    <w:rsid w:val="5F496040"/>
    <w:rsid w:val="5F630463"/>
    <w:rsid w:val="5F772731"/>
    <w:rsid w:val="5F8857B0"/>
    <w:rsid w:val="5FA25127"/>
    <w:rsid w:val="5FC329ED"/>
    <w:rsid w:val="5FC87C2F"/>
    <w:rsid w:val="5FCD1D80"/>
    <w:rsid w:val="5FF83899"/>
    <w:rsid w:val="5FFB3537"/>
    <w:rsid w:val="60080734"/>
    <w:rsid w:val="60275C02"/>
    <w:rsid w:val="603911C4"/>
    <w:rsid w:val="60534CBB"/>
    <w:rsid w:val="60600A87"/>
    <w:rsid w:val="606900F8"/>
    <w:rsid w:val="607470F8"/>
    <w:rsid w:val="60770C85"/>
    <w:rsid w:val="607C09C6"/>
    <w:rsid w:val="60830F1F"/>
    <w:rsid w:val="60866704"/>
    <w:rsid w:val="609603C4"/>
    <w:rsid w:val="609F3931"/>
    <w:rsid w:val="60A808D5"/>
    <w:rsid w:val="60B8658C"/>
    <w:rsid w:val="60C5621D"/>
    <w:rsid w:val="60D21EA3"/>
    <w:rsid w:val="60E54FE5"/>
    <w:rsid w:val="60F538BD"/>
    <w:rsid w:val="60F7491A"/>
    <w:rsid w:val="60FF2C3E"/>
    <w:rsid w:val="61111DF5"/>
    <w:rsid w:val="612B79D0"/>
    <w:rsid w:val="61333EDB"/>
    <w:rsid w:val="61462D05"/>
    <w:rsid w:val="61871B6D"/>
    <w:rsid w:val="618D103A"/>
    <w:rsid w:val="61BF1B9C"/>
    <w:rsid w:val="61C566A5"/>
    <w:rsid w:val="61DD2A25"/>
    <w:rsid w:val="61E909C7"/>
    <w:rsid w:val="620D0034"/>
    <w:rsid w:val="621F59B0"/>
    <w:rsid w:val="622157DD"/>
    <w:rsid w:val="62320718"/>
    <w:rsid w:val="62625B89"/>
    <w:rsid w:val="628919B9"/>
    <w:rsid w:val="6299136D"/>
    <w:rsid w:val="62BB24F1"/>
    <w:rsid w:val="62C92CD3"/>
    <w:rsid w:val="62D321F3"/>
    <w:rsid w:val="62E61ED6"/>
    <w:rsid w:val="62EF0E65"/>
    <w:rsid w:val="631868D3"/>
    <w:rsid w:val="63210DBE"/>
    <w:rsid w:val="63241D3E"/>
    <w:rsid w:val="632C3D2A"/>
    <w:rsid w:val="635469CD"/>
    <w:rsid w:val="636B1FDC"/>
    <w:rsid w:val="636F7943"/>
    <w:rsid w:val="63A4232D"/>
    <w:rsid w:val="63B25EF3"/>
    <w:rsid w:val="63C70767"/>
    <w:rsid w:val="63C92EFD"/>
    <w:rsid w:val="63CF6071"/>
    <w:rsid w:val="63D71756"/>
    <w:rsid w:val="63DE0CBF"/>
    <w:rsid w:val="64185163"/>
    <w:rsid w:val="641E0DFC"/>
    <w:rsid w:val="64281C7B"/>
    <w:rsid w:val="644509DA"/>
    <w:rsid w:val="6448572A"/>
    <w:rsid w:val="64615361"/>
    <w:rsid w:val="648D5F82"/>
    <w:rsid w:val="64A55079"/>
    <w:rsid w:val="64C53F22"/>
    <w:rsid w:val="64DC42B2"/>
    <w:rsid w:val="64E43119"/>
    <w:rsid w:val="64F54926"/>
    <w:rsid w:val="651A04C9"/>
    <w:rsid w:val="655B529B"/>
    <w:rsid w:val="655B6079"/>
    <w:rsid w:val="656D66A0"/>
    <w:rsid w:val="656F662D"/>
    <w:rsid w:val="65757820"/>
    <w:rsid w:val="65A426CF"/>
    <w:rsid w:val="65A92947"/>
    <w:rsid w:val="65AF5B3F"/>
    <w:rsid w:val="65C60A04"/>
    <w:rsid w:val="65E33A20"/>
    <w:rsid w:val="66434B4A"/>
    <w:rsid w:val="664C4DDB"/>
    <w:rsid w:val="66731AC5"/>
    <w:rsid w:val="66843AE9"/>
    <w:rsid w:val="66884C53"/>
    <w:rsid w:val="66C00BA8"/>
    <w:rsid w:val="66C3299D"/>
    <w:rsid w:val="66C56213"/>
    <w:rsid w:val="66DE12C4"/>
    <w:rsid w:val="66FA27FD"/>
    <w:rsid w:val="670B339A"/>
    <w:rsid w:val="670F50E3"/>
    <w:rsid w:val="6710190B"/>
    <w:rsid w:val="671169F6"/>
    <w:rsid w:val="67563AFE"/>
    <w:rsid w:val="67817E6E"/>
    <w:rsid w:val="67B207FF"/>
    <w:rsid w:val="67BC2902"/>
    <w:rsid w:val="67DC2C6E"/>
    <w:rsid w:val="67E646B5"/>
    <w:rsid w:val="67F803BC"/>
    <w:rsid w:val="67FF35A1"/>
    <w:rsid w:val="681A3FD0"/>
    <w:rsid w:val="682269E1"/>
    <w:rsid w:val="68430E0B"/>
    <w:rsid w:val="685337C0"/>
    <w:rsid w:val="686D4100"/>
    <w:rsid w:val="687114B4"/>
    <w:rsid w:val="68840E98"/>
    <w:rsid w:val="688E121E"/>
    <w:rsid w:val="689615CB"/>
    <w:rsid w:val="68983083"/>
    <w:rsid w:val="689E69AF"/>
    <w:rsid w:val="68C30604"/>
    <w:rsid w:val="68C4497F"/>
    <w:rsid w:val="68D93544"/>
    <w:rsid w:val="68E418C4"/>
    <w:rsid w:val="694769F7"/>
    <w:rsid w:val="694958EB"/>
    <w:rsid w:val="694F7AA6"/>
    <w:rsid w:val="69525D05"/>
    <w:rsid w:val="69561EE4"/>
    <w:rsid w:val="697233B6"/>
    <w:rsid w:val="698E07D2"/>
    <w:rsid w:val="69A52D9B"/>
    <w:rsid w:val="69AA3132"/>
    <w:rsid w:val="69BD2EC3"/>
    <w:rsid w:val="69D361E5"/>
    <w:rsid w:val="69E50B18"/>
    <w:rsid w:val="69EB1780"/>
    <w:rsid w:val="69EE74C3"/>
    <w:rsid w:val="6A116D0D"/>
    <w:rsid w:val="6A1A2CBA"/>
    <w:rsid w:val="6A1B7956"/>
    <w:rsid w:val="6A2670AB"/>
    <w:rsid w:val="6A7B729C"/>
    <w:rsid w:val="6A9516EC"/>
    <w:rsid w:val="6AC16985"/>
    <w:rsid w:val="6ACE6BC0"/>
    <w:rsid w:val="6AEC6808"/>
    <w:rsid w:val="6AF047CD"/>
    <w:rsid w:val="6AFD6DE3"/>
    <w:rsid w:val="6AFE0A67"/>
    <w:rsid w:val="6B0A721A"/>
    <w:rsid w:val="6B0D0EFD"/>
    <w:rsid w:val="6B106E06"/>
    <w:rsid w:val="6B1C3BBC"/>
    <w:rsid w:val="6B22267A"/>
    <w:rsid w:val="6B3603D7"/>
    <w:rsid w:val="6B3B4B90"/>
    <w:rsid w:val="6B3C5C0D"/>
    <w:rsid w:val="6BAE0CB8"/>
    <w:rsid w:val="6BBF233E"/>
    <w:rsid w:val="6BCC7390"/>
    <w:rsid w:val="6BD5099E"/>
    <w:rsid w:val="6BD80588"/>
    <w:rsid w:val="6BDA5F51"/>
    <w:rsid w:val="6BE07C3F"/>
    <w:rsid w:val="6C0703C8"/>
    <w:rsid w:val="6C0E3589"/>
    <w:rsid w:val="6C4E235B"/>
    <w:rsid w:val="6C592649"/>
    <w:rsid w:val="6C5B76EA"/>
    <w:rsid w:val="6C65168B"/>
    <w:rsid w:val="6C655A0F"/>
    <w:rsid w:val="6C6F1867"/>
    <w:rsid w:val="6C8C5166"/>
    <w:rsid w:val="6C967D37"/>
    <w:rsid w:val="6C9D0D2C"/>
    <w:rsid w:val="6C9D6573"/>
    <w:rsid w:val="6CB55547"/>
    <w:rsid w:val="6CBE10EF"/>
    <w:rsid w:val="6CBE655C"/>
    <w:rsid w:val="6D01279B"/>
    <w:rsid w:val="6D421C0F"/>
    <w:rsid w:val="6D54362E"/>
    <w:rsid w:val="6D716441"/>
    <w:rsid w:val="6D7443E6"/>
    <w:rsid w:val="6D7E421A"/>
    <w:rsid w:val="6D873B54"/>
    <w:rsid w:val="6D9F6CE5"/>
    <w:rsid w:val="6DA94999"/>
    <w:rsid w:val="6DCD4CFD"/>
    <w:rsid w:val="6DE60D3D"/>
    <w:rsid w:val="6E07219B"/>
    <w:rsid w:val="6E0E5823"/>
    <w:rsid w:val="6E103CBF"/>
    <w:rsid w:val="6E397A78"/>
    <w:rsid w:val="6E4D05F5"/>
    <w:rsid w:val="6E5806D2"/>
    <w:rsid w:val="6E706147"/>
    <w:rsid w:val="6E742AB9"/>
    <w:rsid w:val="6E790F4A"/>
    <w:rsid w:val="6E9C10A2"/>
    <w:rsid w:val="6EA57EDB"/>
    <w:rsid w:val="6EC33506"/>
    <w:rsid w:val="6EE80984"/>
    <w:rsid w:val="6F1477FC"/>
    <w:rsid w:val="6F1C37A0"/>
    <w:rsid w:val="6F467039"/>
    <w:rsid w:val="6F615958"/>
    <w:rsid w:val="6F876F20"/>
    <w:rsid w:val="6F936C52"/>
    <w:rsid w:val="6FC35F4B"/>
    <w:rsid w:val="6FDD65E7"/>
    <w:rsid w:val="6FEA1DA8"/>
    <w:rsid w:val="70143BAB"/>
    <w:rsid w:val="701E2692"/>
    <w:rsid w:val="702C664F"/>
    <w:rsid w:val="703E0C24"/>
    <w:rsid w:val="703E1A58"/>
    <w:rsid w:val="705362D1"/>
    <w:rsid w:val="70786F16"/>
    <w:rsid w:val="708727AC"/>
    <w:rsid w:val="708A27F9"/>
    <w:rsid w:val="70AA78F9"/>
    <w:rsid w:val="70AD08D1"/>
    <w:rsid w:val="70CD0C62"/>
    <w:rsid w:val="70DF4257"/>
    <w:rsid w:val="71234E99"/>
    <w:rsid w:val="713F6505"/>
    <w:rsid w:val="715F313D"/>
    <w:rsid w:val="71867FE1"/>
    <w:rsid w:val="71906253"/>
    <w:rsid w:val="71B72F1B"/>
    <w:rsid w:val="71FD1D00"/>
    <w:rsid w:val="722E2A6C"/>
    <w:rsid w:val="72311FB0"/>
    <w:rsid w:val="724971B1"/>
    <w:rsid w:val="724C2FD8"/>
    <w:rsid w:val="7253086D"/>
    <w:rsid w:val="7254405E"/>
    <w:rsid w:val="72646574"/>
    <w:rsid w:val="727A7999"/>
    <w:rsid w:val="72813061"/>
    <w:rsid w:val="72B62384"/>
    <w:rsid w:val="72CB7A1D"/>
    <w:rsid w:val="72F331A6"/>
    <w:rsid w:val="72FA09F8"/>
    <w:rsid w:val="730178BE"/>
    <w:rsid w:val="731A751C"/>
    <w:rsid w:val="733B7698"/>
    <w:rsid w:val="734D7048"/>
    <w:rsid w:val="7381665F"/>
    <w:rsid w:val="73816CB2"/>
    <w:rsid w:val="73C235CC"/>
    <w:rsid w:val="73D37286"/>
    <w:rsid w:val="74213FE2"/>
    <w:rsid w:val="742970E4"/>
    <w:rsid w:val="74463C6B"/>
    <w:rsid w:val="745A794E"/>
    <w:rsid w:val="7461449A"/>
    <w:rsid w:val="749C3698"/>
    <w:rsid w:val="74BF5716"/>
    <w:rsid w:val="74C84ED4"/>
    <w:rsid w:val="74F038CD"/>
    <w:rsid w:val="74FB10C6"/>
    <w:rsid w:val="75120509"/>
    <w:rsid w:val="75415F0D"/>
    <w:rsid w:val="755A4FAD"/>
    <w:rsid w:val="75826D11"/>
    <w:rsid w:val="758B1747"/>
    <w:rsid w:val="758E5CBD"/>
    <w:rsid w:val="759012A6"/>
    <w:rsid w:val="75994786"/>
    <w:rsid w:val="759F43DE"/>
    <w:rsid w:val="75AB0B7C"/>
    <w:rsid w:val="75E408FB"/>
    <w:rsid w:val="75E770E9"/>
    <w:rsid w:val="762461C9"/>
    <w:rsid w:val="7626426C"/>
    <w:rsid w:val="764556FC"/>
    <w:rsid w:val="76501648"/>
    <w:rsid w:val="76564426"/>
    <w:rsid w:val="76A231E0"/>
    <w:rsid w:val="76AA4771"/>
    <w:rsid w:val="76C00D90"/>
    <w:rsid w:val="76CA23E0"/>
    <w:rsid w:val="76D234E8"/>
    <w:rsid w:val="76D76DDB"/>
    <w:rsid w:val="76FA1255"/>
    <w:rsid w:val="7711272C"/>
    <w:rsid w:val="773050B9"/>
    <w:rsid w:val="77335684"/>
    <w:rsid w:val="773914B1"/>
    <w:rsid w:val="773F3EF6"/>
    <w:rsid w:val="775C3CBE"/>
    <w:rsid w:val="778D7E1E"/>
    <w:rsid w:val="77AC7BFB"/>
    <w:rsid w:val="77B80FFE"/>
    <w:rsid w:val="77BA67F0"/>
    <w:rsid w:val="77C51FEE"/>
    <w:rsid w:val="77DC63F1"/>
    <w:rsid w:val="77F71288"/>
    <w:rsid w:val="77F766B7"/>
    <w:rsid w:val="77FB6923"/>
    <w:rsid w:val="77FE2BD6"/>
    <w:rsid w:val="784B6913"/>
    <w:rsid w:val="786B5F37"/>
    <w:rsid w:val="78B10967"/>
    <w:rsid w:val="78DA04CC"/>
    <w:rsid w:val="78DC0341"/>
    <w:rsid w:val="78E937B2"/>
    <w:rsid w:val="78F0744E"/>
    <w:rsid w:val="79022055"/>
    <w:rsid w:val="791A3E30"/>
    <w:rsid w:val="79633050"/>
    <w:rsid w:val="79731D00"/>
    <w:rsid w:val="79A30415"/>
    <w:rsid w:val="79C237B8"/>
    <w:rsid w:val="79C956C9"/>
    <w:rsid w:val="79E81839"/>
    <w:rsid w:val="79F00BB7"/>
    <w:rsid w:val="7A231C23"/>
    <w:rsid w:val="7A337178"/>
    <w:rsid w:val="7A373D8F"/>
    <w:rsid w:val="7A416FFF"/>
    <w:rsid w:val="7A4C7704"/>
    <w:rsid w:val="7A5B48A2"/>
    <w:rsid w:val="7A686B3E"/>
    <w:rsid w:val="7A6F407D"/>
    <w:rsid w:val="7AA76A42"/>
    <w:rsid w:val="7AAF2C50"/>
    <w:rsid w:val="7AAF67FA"/>
    <w:rsid w:val="7AB65BF3"/>
    <w:rsid w:val="7ABF5DC2"/>
    <w:rsid w:val="7AC336B0"/>
    <w:rsid w:val="7ADC3733"/>
    <w:rsid w:val="7ADC42CE"/>
    <w:rsid w:val="7B0651FC"/>
    <w:rsid w:val="7B167B29"/>
    <w:rsid w:val="7B1D1F4D"/>
    <w:rsid w:val="7B374F6B"/>
    <w:rsid w:val="7B3844CF"/>
    <w:rsid w:val="7B3F192C"/>
    <w:rsid w:val="7B4A69F9"/>
    <w:rsid w:val="7B547823"/>
    <w:rsid w:val="7BB32CDB"/>
    <w:rsid w:val="7BC6243F"/>
    <w:rsid w:val="7BEF1817"/>
    <w:rsid w:val="7BF31AE6"/>
    <w:rsid w:val="7BF80919"/>
    <w:rsid w:val="7BFB41A9"/>
    <w:rsid w:val="7C0A5E14"/>
    <w:rsid w:val="7C31258E"/>
    <w:rsid w:val="7C45044A"/>
    <w:rsid w:val="7C482CCF"/>
    <w:rsid w:val="7C577681"/>
    <w:rsid w:val="7C5F7DAC"/>
    <w:rsid w:val="7C7376BB"/>
    <w:rsid w:val="7C77712C"/>
    <w:rsid w:val="7C7978DC"/>
    <w:rsid w:val="7CAF4890"/>
    <w:rsid w:val="7CBC52DC"/>
    <w:rsid w:val="7CCC2828"/>
    <w:rsid w:val="7CD63002"/>
    <w:rsid w:val="7CDB4429"/>
    <w:rsid w:val="7CDE21A9"/>
    <w:rsid w:val="7CE32E91"/>
    <w:rsid w:val="7D22463A"/>
    <w:rsid w:val="7D4D2F2A"/>
    <w:rsid w:val="7D57790E"/>
    <w:rsid w:val="7D5F16DE"/>
    <w:rsid w:val="7D7207C4"/>
    <w:rsid w:val="7D8444A1"/>
    <w:rsid w:val="7D943CCE"/>
    <w:rsid w:val="7DD00E8B"/>
    <w:rsid w:val="7DE14F1D"/>
    <w:rsid w:val="7DEB1754"/>
    <w:rsid w:val="7DF61277"/>
    <w:rsid w:val="7E1D1A33"/>
    <w:rsid w:val="7E263FC3"/>
    <w:rsid w:val="7E265DF6"/>
    <w:rsid w:val="7E2E2619"/>
    <w:rsid w:val="7E39386B"/>
    <w:rsid w:val="7E5305BA"/>
    <w:rsid w:val="7E553215"/>
    <w:rsid w:val="7E89660E"/>
    <w:rsid w:val="7E8F77E9"/>
    <w:rsid w:val="7E922694"/>
    <w:rsid w:val="7ECF7E0A"/>
    <w:rsid w:val="7EED2D5B"/>
    <w:rsid w:val="7F006076"/>
    <w:rsid w:val="7F3353E4"/>
    <w:rsid w:val="7F3E661A"/>
    <w:rsid w:val="7F4B4C25"/>
    <w:rsid w:val="7F590AE3"/>
    <w:rsid w:val="7F7B2EF8"/>
    <w:rsid w:val="7F895818"/>
    <w:rsid w:val="7F946299"/>
    <w:rsid w:val="7FB32FF0"/>
    <w:rsid w:val="7FBE4456"/>
    <w:rsid w:val="7FDA083A"/>
    <w:rsid w:val="7FEA1B61"/>
    <w:rsid w:val="7FEA73F7"/>
    <w:rsid w:val="7FEB47DD"/>
    <w:rsid w:val="7FF505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name="Body Text First Indent"/>
    <w:lsdException w:qFormat="1"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28"/>
    <w:autoRedefine/>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autoRedefine/>
    <w:unhideWhenUsed/>
    <w:qFormat/>
    <w:uiPriority w:val="0"/>
    <w:pPr>
      <w:keepNext/>
      <w:keepLines/>
      <w:spacing w:before="260" w:after="260" w:line="413" w:lineRule="auto"/>
      <w:outlineLvl w:val="2"/>
    </w:pPr>
    <w:rPr>
      <w:b/>
      <w:sz w:val="32"/>
    </w:rPr>
  </w:style>
  <w:style w:type="character" w:default="1" w:styleId="22">
    <w:name w:val="Default Paragraph Font"/>
    <w:autoRedefine/>
    <w:semiHidden/>
    <w:unhideWhenUsed/>
    <w:qFormat/>
    <w:uiPriority w:val="1"/>
  </w:style>
  <w:style w:type="table" w:default="1" w:styleId="20">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autoRedefine/>
    <w:qFormat/>
    <w:uiPriority w:val="0"/>
    <w:pPr>
      <w:ind w:firstLine="420"/>
    </w:pPr>
    <w:rPr>
      <w:rFonts w:ascii="Times New Roman" w:hAnsi="Times New Roman" w:eastAsia="仿宋_GB2312"/>
      <w:smallCaps/>
      <w:szCs w:val="20"/>
    </w:rPr>
  </w:style>
  <w:style w:type="paragraph" w:styleId="6">
    <w:name w:val="Body Text"/>
    <w:basedOn w:val="1"/>
    <w:autoRedefine/>
    <w:qFormat/>
    <w:uiPriority w:val="0"/>
  </w:style>
  <w:style w:type="paragraph" w:styleId="7">
    <w:name w:val="Body Text Indent"/>
    <w:basedOn w:val="1"/>
    <w:autoRedefine/>
    <w:semiHidden/>
    <w:unhideWhenUsed/>
    <w:qFormat/>
    <w:uiPriority w:val="99"/>
    <w:pPr>
      <w:spacing w:after="120"/>
      <w:ind w:left="420" w:leftChars="200"/>
    </w:pPr>
  </w:style>
  <w:style w:type="paragraph" w:styleId="8">
    <w:name w:val="toc 3"/>
    <w:basedOn w:val="1"/>
    <w:next w:val="1"/>
    <w:autoRedefine/>
    <w:qFormat/>
    <w:uiPriority w:val="0"/>
    <w:pPr>
      <w:ind w:left="840" w:leftChars="400"/>
    </w:pPr>
  </w:style>
  <w:style w:type="paragraph" w:styleId="9">
    <w:name w:val="Plain Text"/>
    <w:basedOn w:val="1"/>
    <w:autoRedefine/>
    <w:qFormat/>
    <w:uiPriority w:val="0"/>
    <w:rPr>
      <w:rFonts w:ascii="宋体" w:hAnsi="Courier New" w:eastAsia="仿宋_GB2312"/>
      <w:smallCaps/>
      <w:szCs w:val="20"/>
    </w:rPr>
  </w:style>
  <w:style w:type="paragraph" w:styleId="10">
    <w:name w:val="Date"/>
    <w:basedOn w:val="1"/>
    <w:next w:val="1"/>
    <w:autoRedefine/>
    <w:qFormat/>
    <w:uiPriority w:val="0"/>
    <w:rPr>
      <w:sz w:val="24"/>
    </w:rPr>
  </w:style>
  <w:style w:type="paragraph" w:styleId="11">
    <w:name w:val="footer"/>
    <w:basedOn w:val="1"/>
    <w:autoRedefine/>
    <w:unhideWhenUsed/>
    <w:qFormat/>
    <w:uiPriority w:val="99"/>
    <w:pPr>
      <w:tabs>
        <w:tab w:val="center" w:pos="4153"/>
        <w:tab w:val="right" w:pos="8306"/>
      </w:tabs>
      <w:snapToGrid w:val="0"/>
      <w:jc w:val="left"/>
    </w:pPr>
    <w:rPr>
      <w:sz w:val="18"/>
      <w:szCs w:val="18"/>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autoRedefine/>
    <w:qFormat/>
    <w:uiPriority w:val="0"/>
  </w:style>
  <w:style w:type="paragraph" w:styleId="14">
    <w:name w:val="List"/>
    <w:basedOn w:val="1"/>
    <w:autoRedefine/>
    <w:qFormat/>
    <w:uiPriority w:val="0"/>
    <w:pPr>
      <w:ind w:left="200" w:hanging="200" w:hangingChars="200"/>
    </w:pPr>
  </w:style>
  <w:style w:type="paragraph" w:styleId="15">
    <w:name w:val="toc 2"/>
    <w:basedOn w:val="1"/>
    <w:next w:val="1"/>
    <w:autoRedefine/>
    <w:qFormat/>
    <w:uiPriority w:val="0"/>
    <w:pPr>
      <w:ind w:left="420" w:leftChars="200"/>
    </w:pPr>
  </w:style>
  <w:style w:type="paragraph" w:styleId="16">
    <w:name w:val="Normal (Web)"/>
    <w:basedOn w:val="1"/>
    <w:autoRedefine/>
    <w:qFormat/>
    <w:uiPriority w:val="0"/>
    <w:pPr>
      <w:spacing w:beforeAutospacing="1" w:afterAutospacing="1"/>
      <w:jc w:val="left"/>
    </w:pPr>
    <w:rPr>
      <w:rFonts w:cs="Times New Roman"/>
      <w:kern w:val="0"/>
      <w:sz w:val="24"/>
    </w:rPr>
  </w:style>
  <w:style w:type="paragraph" w:styleId="17">
    <w:name w:val="Title"/>
    <w:basedOn w:val="1"/>
    <w:next w:val="1"/>
    <w:autoRedefine/>
    <w:qFormat/>
    <w:uiPriority w:val="0"/>
    <w:pPr>
      <w:spacing w:before="240" w:after="60" w:line="580" w:lineRule="exact"/>
      <w:ind w:firstLine="883" w:firstLineChars="200"/>
      <w:jc w:val="center"/>
      <w:outlineLvl w:val="0"/>
    </w:pPr>
    <w:rPr>
      <w:rFonts w:ascii="Arial" w:hAnsi="Arial" w:eastAsia="宋体" w:cs="Arial"/>
      <w:b/>
      <w:bCs/>
    </w:rPr>
  </w:style>
  <w:style w:type="paragraph" w:styleId="18">
    <w:name w:val="Body Text First Indent"/>
    <w:basedOn w:val="6"/>
    <w:autoRedefine/>
    <w:semiHidden/>
    <w:unhideWhenUsed/>
    <w:qFormat/>
    <w:uiPriority w:val="99"/>
    <w:pPr>
      <w:ind w:firstLine="420" w:firstLineChars="100"/>
    </w:pPr>
  </w:style>
  <w:style w:type="paragraph" w:styleId="19">
    <w:name w:val="Body Text First Indent 2"/>
    <w:basedOn w:val="7"/>
    <w:autoRedefine/>
    <w:semiHidden/>
    <w:unhideWhenUsed/>
    <w:qFormat/>
    <w:uiPriority w:val="99"/>
    <w:pPr>
      <w:ind w:firstLine="420" w:firstLineChars="200"/>
    </w:p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basedOn w:val="22"/>
    <w:autoRedefine/>
    <w:qFormat/>
    <w:uiPriority w:val="0"/>
    <w:rPr>
      <w:color w:val="0000FF"/>
      <w:u w:val="single"/>
    </w:rPr>
  </w:style>
  <w:style w:type="paragraph" w:customStyle="1" w:styleId="24">
    <w:name w:val="BodyText1I"/>
    <w:basedOn w:val="25"/>
    <w:autoRedefine/>
    <w:qFormat/>
    <w:uiPriority w:val="0"/>
    <w:pPr>
      <w:spacing w:after="0" w:line="588" w:lineRule="exact"/>
      <w:ind w:firstLine="880" w:firstLineChars="200"/>
    </w:pPr>
  </w:style>
  <w:style w:type="paragraph" w:customStyle="1" w:styleId="25">
    <w:name w:val="BodyText"/>
    <w:basedOn w:val="1"/>
    <w:autoRedefine/>
    <w:qFormat/>
    <w:uiPriority w:val="0"/>
    <w:pPr>
      <w:spacing w:after="120"/>
      <w:textAlignment w:val="baseline"/>
    </w:pPr>
  </w:style>
  <w:style w:type="paragraph" w:customStyle="1" w:styleId="26">
    <w:name w:val="三调正文"/>
    <w:autoRedefine/>
    <w:qFormat/>
    <w:uiPriority w:val="0"/>
    <w:pPr>
      <w:spacing w:line="500" w:lineRule="exact"/>
      <w:ind w:firstLine="200" w:firstLineChars="200"/>
    </w:pPr>
    <w:rPr>
      <w:rFonts w:ascii="宋体" w:hAnsi="宋体" w:eastAsia="宋体" w:cs="仿宋_GB2312"/>
      <w:sz w:val="28"/>
      <w:szCs w:val="28"/>
      <w:lang w:val="en-US" w:eastAsia="zh-CN" w:bidi="ar-SA"/>
    </w:rPr>
  </w:style>
  <w:style w:type="paragraph" w:customStyle="1" w:styleId="27">
    <w:name w:val="样式 仿宋_GB2312 四号 左 左侧:  0 厘米 段前: 5 磅 段后: 5 磅"/>
    <w:basedOn w:val="1"/>
    <w:autoRedefine/>
    <w:qFormat/>
    <w:uiPriority w:val="0"/>
    <w:pPr>
      <w:jc w:val="left"/>
    </w:pPr>
    <w:rPr>
      <w:rFonts w:ascii="仿宋_GB2312" w:eastAsia="仿宋_GB2312"/>
      <w:sz w:val="28"/>
    </w:rPr>
  </w:style>
  <w:style w:type="character" w:customStyle="1" w:styleId="28">
    <w:name w:val="标题 2 字符"/>
    <w:link w:val="3"/>
    <w:autoRedefine/>
    <w:qFormat/>
    <w:uiPriority w:val="0"/>
    <w:rPr>
      <w:rFonts w:ascii="Arial" w:hAnsi="Arial" w:eastAsia="黑体"/>
      <w:b/>
      <w:sz w:val="32"/>
    </w:rPr>
  </w:style>
  <w:style w:type="paragraph" w:customStyle="1" w:styleId="29">
    <w:name w:val="正文内容"/>
    <w:basedOn w:val="1"/>
    <w:autoRedefine/>
    <w:qFormat/>
    <w:uiPriority w:val="0"/>
    <w:pPr>
      <w:ind w:firstLine="200" w:firstLineChars="200"/>
    </w:pPr>
    <w:rPr>
      <w:sz w:val="28"/>
    </w:rPr>
  </w:style>
  <w:style w:type="character" w:customStyle="1" w:styleId="30">
    <w:name w:val="font11"/>
    <w:basedOn w:val="22"/>
    <w:autoRedefine/>
    <w:qFormat/>
    <w:uiPriority w:val="0"/>
    <w:rPr>
      <w:rFonts w:hint="eastAsia" w:ascii="宋体" w:hAnsi="宋体" w:eastAsia="宋体" w:cs="宋体"/>
      <w:color w:val="000000"/>
      <w:sz w:val="21"/>
      <w:szCs w:val="21"/>
      <w:u w:val="none"/>
    </w:rPr>
  </w:style>
  <w:style w:type="character" w:customStyle="1" w:styleId="31">
    <w:name w:val="font21"/>
    <w:basedOn w:val="22"/>
    <w:autoRedefine/>
    <w:qFormat/>
    <w:uiPriority w:val="0"/>
    <w:rPr>
      <w:rFonts w:ascii="Calibri" w:hAnsi="Calibri" w:cs="Calibri"/>
      <w:color w:val="000000"/>
      <w:sz w:val="21"/>
      <w:szCs w:val="21"/>
      <w:u w:val="none"/>
    </w:rPr>
  </w:style>
  <w:style w:type="paragraph" w:customStyle="1" w:styleId="32">
    <w:name w:val="Body text|1"/>
    <w:basedOn w:val="1"/>
    <w:autoRedefine/>
    <w:qFormat/>
    <w:uiPriority w:val="99"/>
    <w:pPr>
      <w:spacing w:line="396" w:lineRule="auto"/>
      <w:ind w:firstLine="400"/>
      <w:jc w:val="left"/>
    </w:pPr>
    <w:rPr>
      <w:rFonts w:ascii="宋体" w:hAnsi="宋体" w:cs="宋体"/>
      <w:sz w:val="30"/>
      <w:szCs w:val="30"/>
      <w:lang w:val="zh-TW" w:eastAsia="zh-TW"/>
    </w:rPr>
  </w:style>
  <w:style w:type="character" w:customStyle="1" w:styleId="33">
    <w:name w:val="font31"/>
    <w:basedOn w:val="22"/>
    <w:autoRedefine/>
    <w:qFormat/>
    <w:uiPriority w:val="0"/>
    <w:rPr>
      <w:rFonts w:hint="eastAsia" w:ascii="宋体" w:hAnsi="宋体" w:eastAsia="宋体" w:cs="宋体"/>
      <w:color w:val="000000"/>
      <w:sz w:val="21"/>
      <w:szCs w:val="21"/>
      <w:u w:val="none"/>
    </w:rPr>
  </w:style>
  <w:style w:type="character" w:customStyle="1" w:styleId="34">
    <w:name w:val="font61"/>
    <w:basedOn w:val="22"/>
    <w:autoRedefine/>
    <w:qFormat/>
    <w:uiPriority w:val="0"/>
    <w:rPr>
      <w:rFonts w:hint="default" w:ascii="Times New Roman" w:hAnsi="Times New Roman" w:cs="Times New Roman"/>
      <w:color w:val="000000"/>
      <w:sz w:val="21"/>
      <w:szCs w:val="21"/>
      <w:u w:val="none"/>
    </w:rPr>
  </w:style>
  <w:style w:type="character" w:customStyle="1" w:styleId="35">
    <w:name w:val="font41"/>
    <w:basedOn w:val="22"/>
    <w:autoRedefine/>
    <w:qFormat/>
    <w:uiPriority w:val="0"/>
    <w:rPr>
      <w:rFonts w:hint="eastAsia" w:ascii="宋体" w:hAnsi="宋体" w:eastAsia="宋体" w:cs="宋体"/>
      <w:color w:val="000000"/>
      <w:sz w:val="21"/>
      <w:szCs w:val="21"/>
      <w:u w:val="none"/>
    </w:rPr>
  </w:style>
  <w:style w:type="character" w:customStyle="1" w:styleId="36">
    <w:name w:val="font51"/>
    <w:basedOn w:val="22"/>
    <w:autoRedefine/>
    <w:qFormat/>
    <w:uiPriority w:val="0"/>
    <w:rPr>
      <w:rFonts w:hint="eastAsia" w:ascii="宋体" w:hAnsi="宋体" w:eastAsia="宋体" w:cs="宋体"/>
      <w:color w:val="000000"/>
      <w:sz w:val="21"/>
      <w:szCs w:val="21"/>
      <w:u w:val="none"/>
    </w:rPr>
  </w:style>
  <w:style w:type="paragraph" w:customStyle="1" w:styleId="37">
    <w:name w:val="标题3"/>
    <w:basedOn w:val="5"/>
    <w:autoRedefine/>
    <w:qFormat/>
    <w:uiPriority w:val="0"/>
    <w:pPr>
      <w:spacing w:line="360" w:lineRule="auto"/>
      <w:ind w:firstLine="602" w:firstLineChars="200"/>
      <w:outlineLvl w:val="2"/>
    </w:pPr>
    <w:rPr>
      <w:rFonts w:ascii="仿宋_GB2312" w:eastAsia="仿宋"/>
      <w:b/>
      <w:sz w:val="30"/>
      <w:szCs w:val="28"/>
    </w:rPr>
  </w:style>
  <w:style w:type="character" w:customStyle="1" w:styleId="38">
    <w:name w:val="font01"/>
    <w:basedOn w:val="22"/>
    <w:autoRedefine/>
    <w:qFormat/>
    <w:uiPriority w:val="0"/>
    <w:rPr>
      <w:rFonts w:ascii="Arial" w:hAnsi="Arial" w:cs="Arial"/>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74</Pages>
  <Words>8015</Words>
  <Characters>9498</Characters>
  <Lines>249</Lines>
  <Paragraphs>70</Paragraphs>
  <TotalTime>19</TotalTime>
  <ScaleCrop>false</ScaleCrop>
  <LinksUpToDate>false</LinksUpToDate>
  <CharactersWithSpaces>9880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2021-04-15T01:19:00Z</dcterms:created>
  <dc:creator>WPS_1617026709</dc:creator>
  <cp:lastModifiedBy>刘军杉</cp:lastModifiedBy>
  <cp:lastPrinted>2021-05-30T09:44:00Z</cp:lastPrinted>
  <dcterms:modified xsi:type="dcterms:W3CDTF">2025-06-24T00:25:25Z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B4CE6DA8891C4868A2BF234712E6961B_13</vt:lpwstr>
  </property>
  <property fmtid="{D5CDD505-2E9C-101B-9397-08002B2CF9AE}" pid="4" name="KSOTemplateDocerSaveRecord">
    <vt:lpwstr>eyJoZGlkIjoiNTIwYzUyNjMyYjkyYmMwMWRlNDNkMTNmMzk0OTRmM2MiLCJ1c2VySWQiOiIxMDEyMDk2NTAyIn0=</vt:lpwstr>
  </property>
</Properties>
</file>