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cs="仿宋"/>
          <w:color w:val="auto"/>
          <w:sz w:val="44"/>
          <w:szCs w:val="44"/>
        </w:rPr>
      </w:pPr>
    </w:p>
    <w:p>
      <w:pPr>
        <w:jc w:val="center"/>
        <w:rPr>
          <w:rFonts w:hint="eastAsia" w:ascii="方正小标宋简体" w:hAnsi="Times New Roman" w:eastAsia="方正小标宋简体" w:cs="仿宋"/>
          <w:color w:val="auto"/>
          <w:sz w:val="44"/>
          <w:szCs w:val="44"/>
        </w:rPr>
      </w:pPr>
    </w:p>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rPr>
        <w:t>鸡</w:t>
      </w:r>
      <w:r>
        <w:rPr>
          <w:rFonts w:hint="eastAsia" w:asciiTheme="majorEastAsia" w:hAnsiTheme="majorEastAsia" w:eastAsiaTheme="majorEastAsia" w:cstheme="majorEastAsia"/>
          <w:b/>
          <w:bCs/>
          <w:color w:val="auto"/>
          <w:sz w:val="44"/>
          <w:szCs w:val="44"/>
          <w:lang w:eastAsia="zh-CN"/>
        </w:rPr>
        <w:t>东县</w:t>
      </w:r>
      <w:r>
        <w:rPr>
          <w:rFonts w:hint="eastAsia" w:asciiTheme="majorEastAsia" w:hAnsiTheme="majorEastAsia" w:eastAsiaTheme="majorEastAsia" w:cstheme="majorEastAsia"/>
          <w:b/>
          <w:bCs/>
          <w:color w:val="auto"/>
          <w:sz w:val="44"/>
          <w:szCs w:val="44"/>
        </w:rPr>
        <w:t xml:space="preserve">生态环境保护规划 </w:t>
      </w:r>
      <w:r>
        <w:rPr>
          <w:rFonts w:hint="eastAsia" w:asciiTheme="majorEastAsia" w:hAnsiTheme="majorEastAsia" w:eastAsiaTheme="majorEastAsia" w:cstheme="majorEastAsia"/>
          <w:b/>
          <w:bCs/>
          <w:color w:val="auto"/>
          <w:sz w:val="44"/>
          <w:szCs w:val="44"/>
          <w:lang w:eastAsia="zh-CN"/>
        </w:rPr>
        <w:t>（</w:t>
      </w:r>
      <w:r>
        <w:rPr>
          <w:rFonts w:hint="eastAsia" w:asciiTheme="majorEastAsia" w:hAnsiTheme="majorEastAsia" w:eastAsiaTheme="majorEastAsia" w:cstheme="majorEastAsia"/>
          <w:b/>
          <w:bCs/>
          <w:color w:val="auto"/>
          <w:sz w:val="44"/>
          <w:szCs w:val="44"/>
          <w:lang w:val="en-US" w:eastAsia="zh-CN"/>
        </w:rPr>
        <w:t>2024-2025</w:t>
      </w:r>
      <w:bookmarkStart w:id="32" w:name="_GoBack"/>
      <w:bookmarkEnd w:id="32"/>
      <w:r>
        <w:rPr>
          <w:rFonts w:hint="eastAsia" w:asciiTheme="majorEastAsia" w:hAnsiTheme="majorEastAsia" w:eastAsiaTheme="majorEastAsia" w:cstheme="majorEastAsia"/>
          <w:b/>
          <w:bCs/>
          <w:color w:val="auto"/>
          <w:sz w:val="44"/>
          <w:szCs w:val="44"/>
          <w:lang w:eastAsia="zh-CN"/>
        </w:rPr>
        <w:t>）</w:t>
      </w:r>
    </w:p>
    <w:p>
      <w:pPr>
        <w:jc w:val="center"/>
        <w:rPr>
          <w:rFonts w:hint="eastAsia" w:asciiTheme="majorEastAsia" w:hAnsiTheme="majorEastAsia" w:eastAsiaTheme="majorEastAsia" w:cstheme="majorEastAsia"/>
          <w:b/>
          <w:bCs/>
          <w:color w:val="auto"/>
          <w:sz w:val="40"/>
          <w:szCs w:val="40"/>
          <w:lang w:eastAsia="zh-CN"/>
        </w:rPr>
      </w:pPr>
      <w:r>
        <w:rPr>
          <w:rFonts w:hint="eastAsia" w:asciiTheme="majorEastAsia" w:hAnsiTheme="majorEastAsia" w:eastAsiaTheme="majorEastAsia" w:cstheme="majorEastAsia"/>
          <w:b/>
          <w:bCs/>
          <w:color w:val="auto"/>
          <w:sz w:val="40"/>
          <w:szCs w:val="40"/>
          <w:lang w:eastAsia="zh-CN"/>
        </w:rPr>
        <w:t>（征求意见稿）</w:t>
      </w:r>
    </w:p>
    <w:p>
      <w:pPr>
        <w:jc w:val="center"/>
        <w:rPr>
          <w:rFonts w:hint="eastAsia" w:ascii="方正小标宋简体" w:hAnsi="Times New Roman" w:eastAsia="方正小标宋简体" w:cs="仿宋"/>
          <w:color w:val="auto"/>
          <w:sz w:val="44"/>
          <w:szCs w:val="44"/>
        </w:rPr>
      </w:pPr>
    </w:p>
    <w:p>
      <w:pPr>
        <w:pStyle w:val="21"/>
        <w:rPr>
          <w:rFonts w:hint="eastAsia" w:ascii="方正小标宋简体" w:hAnsi="Times New Roman" w:eastAsia="方正小标宋简体" w:cs="仿宋"/>
          <w:color w:val="auto"/>
          <w:sz w:val="44"/>
          <w:szCs w:val="44"/>
        </w:rPr>
      </w:pPr>
    </w:p>
    <w:p>
      <w:pPr>
        <w:rPr>
          <w:rFonts w:hint="eastAsia" w:ascii="方正小标宋简体" w:hAnsi="Times New Roman" w:eastAsia="方正小标宋简体" w:cs="仿宋"/>
          <w:color w:val="auto"/>
          <w:sz w:val="44"/>
          <w:szCs w:val="44"/>
        </w:rPr>
      </w:pPr>
    </w:p>
    <w:p>
      <w:pPr>
        <w:pStyle w:val="21"/>
        <w:rPr>
          <w:rFonts w:hint="eastAsia" w:ascii="方正小标宋简体" w:hAnsi="Times New Roman" w:eastAsia="方正小标宋简体" w:cs="仿宋"/>
          <w:color w:val="auto"/>
          <w:sz w:val="44"/>
          <w:szCs w:val="44"/>
        </w:rPr>
      </w:pPr>
    </w:p>
    <w:p>
      <w:pPr>
        <w:rPr>
          <w:rFonts w:hint="eastAsia" w:ascii="方正小标宋简体" w:hAnsi="Times New Roman" w:eastAsia="方正小标宋简体" w:cs="仿宋"/>
          <w:color w:val="auto"/>
          <w:sz w:val="44"/>
          <w:szCs w:val="44"/>
        </w:rPr>
      </w:pPr>
    </w:p>
    <w:p>
      <w:pPr>
        <w:pStyle w:val="21"/>
        <w:rPr>
          <w:rFonts w:hint="eastAsia" w:ascii="方正小标宋简体" w:hAnsi="Times New Roman" w:eastAsia="方正小标宋简体" w:cs="仿宋"/>
          <w:color w:val="auto"/>
          <w:sz w:val="44"/>
          <w:szCs w:val="44"/>
        </w:rPr>
      </w:pPr>
    </w:p>
    <w:p>
      <w:pPr>
        <w:keepNext w:val="0"/>
        <w:keepLines w:val="0"/>
        <w:widowControl/>
        <w:suppressLineNumbers w:val="0"/>
        <w:jc w:val="center"/>
        <w:rPr>
          <w:color w:val="auto"/>
        </w:rPr>
      </w:pPr>
      <w:r>
        <w:rPr>
          <w:rFonts w:ascii="楷体" w:hAnsi="楷体" w:eastAsia="楷体" w:cs="楷体"/>
          <w:b/>
          <w:bCs/>
          <w:color w:val="auto"/>
          <w:kern w:val="0"/>
          <w:sz w:val="31"/>
          <w:szCs w:val="31"/>
          <w:lang w:val="en-US" w:eastAsia="zh-CN" w:bidi="ar"/>
        </w:rPr>
        <w:t>二</w:t>
      </w:r>
      <w:r>
        <w:rPr>
          <w:rFonts w:hint="eastAsia" w:ascii="楷体" w:hAnsi="楷体" w:eastAsia="楷体" w:cs="楷体"/>
          <w:b/>
          <w:bCs/>
          <w:color w:val="auto"/>
          <w:kern w:val="0"/>
          <w:sz w:val="31"/>
          <w:szCs w:val="31"/>
          <w:lang w:val="en-US" w:eastAsia="zh-CN" w:bidi="ar"/>
        </w:rPr>
        <w:t>0</w:t>
      </w:r>
      <w:r>
        <w:rPr>
          <w:rFonts w:hint="default" w:ascii="楷体" w:hAnsi="楷体" w:eastAsia="楷体" w:cs="楷体"/>
          <w:b/>
          <w:bCs/>
          <w:color w:val="auto"/>
          <w:kern w:val="0"/>
          <w:sz w:val="31"/>
          <w:szCs w:val="31"/>
          <w:lang w:eastAsia="zh-CN" w:bidi="ar"/>
        </w:rPr>
        <w:t>二</w:t>
      </w:r>
      <w:r>
        <w:rPr>
          <w:rFonts w:hint="eastAsia" w:ascii="楷体" w:hAnsi="楷体" w:eastAsia="楷体" w:cs="楷体"/>
          <w:b/>
          <w:bCs/>
          <w:color w:val="auto"/>
          <w:kern w:val="0"/>
          <w:sz w:val="31"/>
          <w:szCs w:val="31"/>
          <w:lang w:eastAsia="zh-CN" w:bidi="ar"/>
        </w:rPr>
        <w:t>四</w:t>
      </w:r>
      <w:r>
        <w:rPr>
          <w:rFonts w:hint="eastAsia" w:ascii="楷体" w:hAnsi="楷体" w:eastAsia="楷体" w:cs="楷体"/>
          <w:b/>
          <w:bCs/>
          <w:color w:val="auto"/>
          <w:kern w:val="0"/>
          <w:sz w:val="31"/>
          <w:szCs w:val="31"/>
          <w:lang w:val="en-US" w:eastAsia="zh-CN" w:bidi="ar"/>
        </w:rPr>
        <w:t xml:space="preserve">年 </w:t>
      </w:r>
      <w:r>
        <w:rPr>
          <w:rFonts w:hint="eastAsia" w:ascii="楷体" w:hAnsi="楷体" w:eastAsia="楷体" w:cs="楷体"/>
          <w:b/>
          <w:bCs/>
          <w:color w:val="auto"/>
          <w:kern w:val="0"/>
          <w:sz w:val="31"/>
          <w:szCs w:val="31"/>
          <w:lang w:eastAsia="zh-CN" w:bidi="ar"/>
        </w:rPr>
        <w:t>五</w:t>
      </w:r>
      <w:r>
        <w:rPr>
          <w:rFonts w:hint="eastAsia" w:ascii="楷体" w:hAnsi="楷体" w:eastAsia="楷体" w:cs="楷体"/>
          <w:b/>
          <w:bCs/>
          <w:color w:val="auto"/>
          <w:kern w:val="0"/>
          <w:sz w:val="31"/>
          <w:szCs w:val="31"/>
          <w:lang w:val="en-US" w:eastAsia="zh-CN" w:bidi="ar"/>
        </w:rPr>
        <w:t>月</w:t>
      </w:r>
    </w:p>
    <w:p>
      <w:pPr>
        <w:rPr>
          <w:rFonts w:hint="eastAsia"/>
          <w:color w:val="auto"/>
        </w:rPr>
      </w:pPr>
    </w:p>
    <w:p>
      <w:pPr>
        <w:jc w:val="center"/>
        <w:rPr>
          <w:rFonts w:hint="eastAsia" w:ascii="方正小标宋简体" w:hAnsi="Times New Roman" w:eastAsia="方正小标宋简体" w:cs="仿宋"/>
          <w:color w:val="auto"/>
          <w:sz w:val="44"/>
          <w:szCs w:val="44"/>
        </w:rPr>
      </w:pPr>
    </w:p>
    <w:p>
      <w:pPr>
        <w:jc w:val="center"/>
        <w:rPr>
          <w:rFonts w:hint="eastAsia" w:ascii="方正小标宋简体" w:hAnsi="Times New Roman" w:eastAsia="方正小标宋简体" w:cs="仿宋"/>
          <w:color w:val="auto"/>
          <w:sz w:val="44"/>
          <w:szCs w:val="44"/>
        </w:rPr>
      </w:pPr>
    </w:p>
    <w:p>
      <w:pPr>
        <w:jc w:val="center"/>
        <w:rPr>
          <w:rFonts w:hint="eastAsia" w:ascii="方正小标宋简体" w:hAnsi="Times New Roman" w:eastAsia="方正小标宋简体" w:cs="仿宋"/>
          <w:color w:val="auto"/>
          <w:sz w:val="44"/>
          <w:szCs w:val="44"/>
        </w:rPr>
      </w:pPr>
    </w:p>
    <w:p>
      <w:pPr>
        <w:jc w:val="center"/>
        <w:rPr>
          <w:rFonts w:ascii="方正小标宋简体" w:hAnsi="方正小标宋简体" w:eastAsia="方正小标宋简体" w:cs="方正小标宋简体"/>
          <w:color w:val="auto"/>
          <w:sz w:val="36"/>
          <w:szCs w:val="36"/>
        </w:rPr>
      </w:pPr>
      <w:r>
        <w:rPr>
          <w:rFonts w:hint="eastAsia" w:ascii="方正小标宋简体" w:hAnsi="Times New Roman" w:eastAsia="方正小标宋简体" w:cs="仿宋"/>
          <w:color w:val="auto"/>
          <w:sz w:val="44"/>
          <w:szCs w:val="44"/>
        </w:rPr>
        <w:t>鸡</w:t>
      </w:r>
      <w:r>
        <w:rPr>
          <w:rFonts w:hint="eastAsia" w:ascii="方正小标宋简体" w:hAnsi="Times New Roman" w:eastAsia="方正小标宋简体" w:cs="仿宋"/>
          <w:color w:val="auto"/>
          <w:sz w:val="44"/>
          <w:szCs w:val="44"/>
          <w:lang w:eastAsia="zh-CN"/>
        </w:rPr>
        <w:t>东县</w:t>
      </w:r>
      <w:r>
        <w:rPr>
          <w:rFonts w:hint="eastAsia" w:ascii="方正小标宋简体" w:hAnsi="Times New Roman" w:eastAsia="方正小标宋简体" w:cs="仿宋"/>
          <w:color w:val="auto"/>
          <w:sz w:val="44"/>
          <w:szCs w:val="44"/>
        </w:rPr>
        <w:t>生态环境保护规划</w:t>
      </w:r>
    </w:p>
    <w:p>
      <w:pPr>
        <w:spacing w:line="600" w:lineRule="exact"/>
        <w:ind w:firstLine="560" w:firstLineChars="200"/>
        <w:rPr>
          <w:rFonts w:ascii="Times New Roman" w:hAnsi="Times New Roman"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为持续改善</w:t>
      </w:r>
      <w:r>
        <w:rPr>
          <w:rFonts w:hint="eastAsia" w:ascii="仿宋" w:hAnsi="仿宋" w:eastAsia="仿宋" w:cs="仿宋"/>
          <w:color w:val="auto"/>
          <w:sz w:val="32"/>
          <w:szCs w:val="32"/>
          <w:lang w:eastAsia="zh-CN"/>
        </w:rPr>
        <w:t>鸡东县</w:t>
      </w:r>
      <w:r>
        <w:rPr>
          <w:rFonts w:hint="eastAsia" w:ascii="仿宋" w:hAnsi="仿宋" w:eastAsia="仿宋" w:cs="仿宋"/>
          <w:color w:val="auto"/>
          <w:sz w:val="32"/>
          <w:szCs w:val="32"/>
        </w:rPr>
        <w:t>生态环境质量，协同推进</w:t>
      </w:r>
      <w:r>
        <w:rPr>
          <w:rFonts w:hint="eastAsia" w:ascii="仿宋" w:hAnsi="仿宋" w:eastAsia="仿宋" w:cs="仿宋"/>
          <w:color w:val="auto"/>
          <w:sz w:val="32"/>
          <w:szCs w:val="32"/>
          <w:lang w:eastAsia="zh-CN"/>
        </w:rPr>
        <w:t>鸡东</w:t>
      </w:r>
      <w:r>
        <w:rPr>
          <w:rFonts w:hint="eastAsia" w:ascii="仿宋" w:hAnsi="仿宋" w:eastAsia="仿宋" w:cs="仿宋"/>
          <w:color w:val="auto"/>
          <w:sz w:val="32"/>
          <w:szCs w:val="32"/>
        </w:rPr>
        <w:t>经济高质量发展和实施生态强市战略，根据《中华人民共和国环境保护法》《中共中央、国务院关于深入打好污染防治攻坚战的意见》《</w:t>
      </w:r>
      <w:r>
        <w:rPr>
          <w:rFonts w:hint="eastAsia" w:ascii="仿宋" w:hAnsi="仿宋" w:eastAsia="仿宋" w:cs="仿宋"/>
          <w:color w:val="auto"/>
          <w:sz w:val="32"/>
          <w:szCs w:val="32"/>
          <w:lang w:eastAsia="zh-CN"/>
        </w:rPr>
        <w:t>鸡西市</w:t>
      </w:r>
      <w:r>
        <w:rPr>
          <w:rFonts w:hint="eastAsia" w:ascii="仿宋" w:hAnsi="仿宋" w:eastAsia="仿宋" w:cs="仿宋"/>
          <w:color w:val="auto"/>
          <w:sz w:val="32"/>
          <w:szCs w:val="32"/>
        </w:rPr>
        <w:t>“十四五”生态环境保护规划》《鸡西市国民经济和社会发展第十四个五年规划和二○三五年远景目标纲要》，制定本规划</w:t>
      </w:r>
      <w:bookmarkStart w:id="0" w:name="_Toc476334056"/>
      <w:bookmarkStart w:id="1" w:name="_Toc51315582"/>
      <w:bookmarkStart w:id="2" w:name="_Toc19174"/>
      <w:bookmarkStart w:id="3" w:name="_Toc7398"/>
      <w:r>
        <w:rPr>
          <w:rFonts w:hint="eastAsia" w:ascii="仿宋" w:hAnsi="仿宋" w:eastAsia="仿宋" w:cs="仿宋"/>
          <w:color w:val="auto"/>
          <w:sz w:val="32"/>
          <w:szCs w:val="32"/>
        </w:rPr>
        <w:t>。</w:t>
      </w:r>
    </w:p>
    <w:bookmarkEnd w:id="0"/>
    <w:bookmarkEnd w:id="1"/>
    <w:bookmarkEnd w:id="2"/>
    <w:bookmarkEnd w:id="3"/>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黑体" w:hAnsi="黑体" w:eastAsia="黑体" w:cs="仿宋"/>
          <w:color w:val="auto"/>
          <w:sz w:val="32"/>
          <w:szCs w:val="32"/>
        </w:rPr>
      </w:pPr>
      <w:r>
        <w:rPr>
          <w:rFonts w:hint="eastAsia" w:ascii="黑体" w:hAnsi="黑体" w:eastAsia="黑体" w:cs="仿宋"/>
          <w:color w:val="auto"/>
          <w:sz w:val="32"/>
          <w:szCs w:val="32"/>
        </w:rPr>
        <w:t>一、背景和形势</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cs="仿宋"/>
          <w:b/>
          <w:color w:val="auto"/>
          <w:sz w:val="32"/>
          <w:szCs w:val="32"/>
        </w:rPr>
      </w:pPr>
      <w:r>
        <w:rPr>
          <w:rFonts w:hint="eastAsia" w:ascii="楷体" w:hAnsi="楷体" w:eastAsia="楷体" w:cs="仿宋"/>
          <w:b/>
          <w:color w:val="auto"/>
          <w:sz w:val="32"/>
          <w:szCs w:val="32"/>
        </w:rPr>
        <w:t>（一）生态环境保护成效显著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“十三五”以来，</w:t>
      </w:r>
      <w:r>
        <w:rPr>
          <w:rFonts w:hint="eastAsia" w:ascii="仿宋" w:hAnsi="仿宋" w:eastAsia="仿宋" w:cs="仿宋"/>
          <w:color w:val="auto"/>
          <w:sz w:val="32"/>
          <w:szCs w:val="32"/>
          <w:lang w:eastAsia="zh-CN"/>
        </w:rPr>
        <w:t>鸡东县</w:t>
      </w:r>
      <w:r>
        <w:rPr>
          <w:rFonts w:hint="eastAsia" w:ascii="仿宋" w:hAnsi="仿宋" w:eastAsia="仿宋" w:cs="仿宋"/>
          <w:color w:val="auto"/>
          <w:sz w:val="32"/>
          <w:szCs w:val="32"/>
        </w:rPr>
        <w:t>以习近平生态文明思想为指导，深入践行“绿水青山就是金山银山”</w:t>
      </w:r>
      <w:r>
        <w:rPr>
          <w:rFonts w:hint="eastAsia" w:ascii="Times New Roman" w:hAnsi="Times New Roman" w:eastAsia="仿宋" w:cs="仿宋"/>
          <w:color w:val="auto"/>
          <w:sz w:val="32"/>
          <w:szCs w:val="32"/>
        </w:rPr>
        <w:t>“冰天雪地也是金山银山”</w:t>
      </w:r>
      <w:r>
        <w:rPr>
          <w:rFonts w:hint="eastAsia" w:ascii="仿宋" w:hAnsi="仿宋" w:eastAsia="仿宋" w:cs="仿宋"/>
          <w:color w:val="auto"/>
          <w:sz w:val="32"/>
          <w:szCs w:val="32"/>
        </w:rPr>
        <w:t>理念，全面贯彻国家、省</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关于生态文明建设和生态环境保护的决策部署，围绕加快推进高质量发展，自我加压，跳起摸高，紧盯打赢“污染防治攻坚战”阶段性目标，统筹推进生态环保、污染防治、生态修复、风险防范和能力建设等各项工作。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生态质量稳中有升，污染防治工作不断深化，环保体制改革深入推进，生态文明建设成果丰硕。</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全</w:t>
      </w:r>
      <w:r>
        <w:rPr>
          <w:rFonts w:hint="eastAsia" w:ascii="仿宋" w:hAnsi="仿宋" w:eastAsia="仿宋" w:cs="仿宋"/>
          <w:b/>
          <w:bCs/>
          <w:color w:val="auto"/>
          <w:sz w:val="32"/>
          <w:szCs w:val="32"/>
          <w:lang w:eastAsia="zh-CN"/>
        </w:rPr>
        <w:t>县</w:t>
      </w:r>
      <w:r>
        <w:rPr>
          <w:rFonts w:hint="eastAsia" w:ascii="仿宋" w:hAnsi="仿宋" w:eastAsia="仿宋" w:cs="仿宋"/>
          <w:b/>
          <w:bCs/>
          <w:color w:val="auto"/>
          <w:sz w:val="32"/>
          <w:szCs w:val="32"/>
        </w:rPr>
        <w:t>水生态环境质量持续向好。</w:t>
      </w:r>
      <w:r>
        <w:rPr>
          <w:rFonts w:hint="eastAsia" w:ascii="仿宋" w:hAnsi="仿宋" w:eastAsia="仿宋" w:cs="仿宋"/>
          <w:color w:val="auto"/>
          <w:sz w:val="32"/>
          <w:szCs w:val="32"/>
        </w:rPr>
        <w:t>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水环境质量持续改善，</w:t>
      </w:r>
      <w:r>
        <w:rPr>
          <w:rFonts w:hint="eastAsia" w:ascii="仿宋" w:hAnsi="仿宋" w:eastAsia="仿宋" w:cs="仿宋"/>
          <w:color w:val="auto"/>
          <w:sz w:val="32"/>
          <w:szCs w:val="32"/>
          <w:lang w:eastAsia="zh-CN"/>
        </w:rPr>
        <w:t>穆棱河</w:t>
      </w:r>
      <w:r>
        <w:rPr>
          <w:rFonts w:hint="eastAsia" w:ascii="仿宋" w:hAnsi="仿宋" w:eastAsia="仿宋" w:cs="仿宋"/>
          <w:color w:val="auto"/>
          <w:sz w:val="32"/>
          <w:szCs w:val="32"/>
        </w:rPr>
        <w:t>水体</w:t>
      </w:r>
      <w:r>
        <w:rPr>
          <w:rFonts w:hint="eastAsia" w:ascii="仿宋" w:hAnsi="仿宋" w:eastAsia="仿宋" w:cs="仿宋"/>
          <w:color w:val="auto"/>
          <w:sz w:val="32"/>
          <w:szCs w:val="32"/>
          <w:lang w:eastAsia="zh-CN"/>
        </w:rPr>
        <w:t>在我县境内水质有效改善</w:t>
      </w:r>
      <w:r>
        <w:rPr>
          <w:rFonts w:hint="eastAsia" w:ascii="仿宋" w:hAnsi="仿宋" w:eastAsia="仿宋" w:cs="仿宋"/>
          <w:color w:val="auto"/>
          <w:sz w:val="32"/>
          <w:szCs w:val="32"/>
        </w:rPr>
        <w:t>。完成主要水污染物减排任务。人民群众饮水安全得到保障，集中式饮用水水源地水质达标率为100%，综合评估等级为优秀。消除</w:t>
      </w:r>
      <w:r>
        <w:rPr>
          <w:rFonts w:hint="eastAsia" w:ascii="仿宋" w:hAnsi="仿宋" w:eastAsia="仿宋" w:cs="仿宋"/>
          <w:color w:val="auto"/>
          <w:sz w:val="32"/>
          <w:szCs w:val="32"/>
          <w:lang w:eastAsia="zh-CN"/>
        </w:rPr>
        <w:t>农村</w:t>
      </w:r>
      <w:r>
        <w:rPr>
          <w:rFonts w:hint="eastAsia" w:ascii="仿宋" w:hAnsi="仿宋" w:eastAsia="仿宋" w:cs="仿宋"/>
          <w:color w:val="auto"/>
          <w:sz w:val="32"/>
          <w:szCs w:val="32"/>
        </w:rPr>
        <w:t>黑臭水体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永安镇西大够</w:t>
      </w:r>
      <w:r>
        <w:rPr>
          <w:rFonts w:hint="eastAsia" w:ascii="仿宋" w:hAnsi="仿宋" w:eastAsia="仿宋" w:cs="仿宋"/>
          <w:color w:val="auto"/>
          <w:sz w:val="32"/>
          <w:szCs w:val="32"/>
        </w:rPr>
        <w:t>黑臭水体治理，达到长制久清准。</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环境空气质量明显改善。</w:t>
      </w:r>
      <w:r>
        <w:rPr>
          <w:rFonts w:hint="eastAsia" w:ascii="仿宋" w:hAnsi="仿宋" w:eastAsia="仿宋" w:cs="仿宋"/>
          <w:color w:val="auto"/>
          <w:sz w:val="32"/>
          <w:szCs w:val="32"/>
        </w:rPr>
        <w:t>坚持全民共治、源头防治、标本兼治，聚焦大气污染防治突出问题，加大重污染天气应对，坚决打赢蓝天保卫战，不断提升人民群众的幸福感和获得感，202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年环境空气优良天数比例为95.9%。全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累计淘汰10 蒸吨/小时及以下燃煤锅炉</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台。深入推进“散乱污”企业综合整治。强化在用车排放管理，推进老旧车辆淘汰，从源头减少污染排放。大气污染排放总量逐年下降，全面完成主要大气污染物减排任务。</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土壤环境质量阶段改善。</w:t>
      </w:r>
      <w:r>
        <w:rPr>
          <w:rFonts w:hint="eastAsia" w:ascii="仿宋" w:hAnsi="仿宋" w:eastAsia="仿宋" w:cs="仿宋"/>
          <w:color w:val="auto"/>
          <w:sz w:val="32"/>
          <w:szCs w:val="32"/>
        </w:rPr>
        <w:t>农用地和建设用地环境管控稳准起步。完成耕地土壤环境质量类别划分。核查重点行业企业8家，排查涉镉重金属行业企业，依法严格监管。加油站防渗加油罐改造任务，有效防控地下水污染。固体废物和危险废物环境风险监管逐步强化。建成投用生活垃圾焚烧发电厂1座，处理总规模为1953吨/日，新建餐厨垃圾处理设施1座，处理规模为100吨/日，基本实现了垃圾无害化处理全覆盖，无害化处理率达100%。</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生态建设与修复能力不断加强。</w:t>
      </w:r>
      <w:r>
        <w:rPr>
          <w:rFonts w:hint="eastAsia" w:ascii="仿宋" w:hAnsi="仿宋" w:eastAsia="仿宋" w:cs="仿宋"/>
          <w:color w:val="auto"/>
          <w:sz w:val="32"/>
          <w:szCs w:val="32"/>
        </w:rPr>
        <w:t>开展“绿盾”行动，强化自然保护地监督检查，整改完成绿盾点位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整改完成率</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个自然保护区面积</w:t>
      </w:r>
      <w:r>
        <w:rPr>
          <w:rFonts w:hint="eastAsia" w:ascii="仿宋" w:hAnsi="仿宋" w:eastAsia="仿宋" w:cs="仿宋"/>
          <w:color w:val="auto"/>
          <w:sz w:val="32"/>
          <w:szCs w:val="32"/>
          <w:lang w:val="en-US" w:eastAsia="zh-CN"/>
        </w:rPr>
        <w:t>37086</w:t>
      </w:r>
      <w:r>
        <w:rPr>
          <w:rFonts w:hint="eastAsia" w:ascii="仿宋" w:hAnsi="仿宋" w:eastAsia="仿宋" w:cs="仿宋"/>
          <w:color w:val="auto"/>
          <w:sz w:val="32"/>
          <w:szCs w:val="32"/>
        </w:rPr>
        <w:t>.92公顷，森林面积</w:t>
      </w:r>
      <w:r>
        <w:rPr>
          <w:rFonts w:hint="eastAsia" w:ascii="仿宋" w:hAnsi="仿宋" w:eastAsia="仿宋" w:cs="仿宋"/>
          <w:color w:val="auto"/>
          <w:sz w:val="32"/>
          <w:szCs w:val="32"/>
          <w:lang w:val="en-US" w:eastAsia="zh-CN"/>
        </w:rPr>
        <w:t>1569.9495</w:t>
      </w:r>
      <w:r>
        <w:rPr>
          <w:rFonts w:hint="eastAsia" w:ascii="仿宋" w:hAnsi="仿宋" w:eastAsia="仿宋" w:cs="仿宋"/>
          <w:color w:val="auto"/>
          <w:sz w:val="32"/>
          <w:szCs w:val="32"/>
        </w:rPr>
        <w:t>平方千米，森林覆盖率达到</w:t>
      </w:r>
      <w:r>
        <w:rPr>
          <w:rFonts w:hint="eastAsia" w:ascii="仿宋" w:hAnsi="仿宋" w:eastAsia="仿宋" w:cs="仿宋"/>
          <w:color w:val="auto"/>
          <w:sz w:val="32"/>
          <w:szCs w:val="32"/>
          <w:lang w:val="en-US" w:eastAsia="zh-CN"/>
        </w:rPr>
        <w:t>45.7</w:t>
      </w:r>
      <w:r>
        <w:rPr>
          <w:rFonts w:hint="eastAsia" w:ascii="仿宋" w:hAnsi="仿宋" w:eastAsia="仿宋" w:cs="仿宋"/>
          <w:color w:val="auto"/>
          <w:sz w:val="32"/>
          <w:szCs w:val="32"/>
        </w:rPr>
        <w:t>%。实施国土绿化行动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完成造林绿化面积</w:t>
      </w:r>
      <w:r>
        <w:rPr>
          <w:rFonts w:hint="eastAsia" w:ascii="仿宋" w:hAnsi="仿宋" w:eastAsia="仿宋" w:cs="仿宋"/>
          <w:color w:val="auto"/>
          <w:sz w:val="32"/>
          <w:szCs w:val="32"/>
          <w:highlight w:val="none"/>
          <w:lang w:val="en-US" w:eastAsia="zh-CN"/>
        </w:rPr>
        <w:t>2.97</w:t>
      </w:r>
      <w:r>
        <w:rPr>
          <w:rFonts w:hint="eastAsia" w:ascii="仿宋" w:hAnsi="仿宋" w:eastAsia="仿宋" w:cs="仿宋"/>
          <w:color w:val="auto"/>
          <w:sz w:val="32"/>
          <w:szCs w:val="32"/>
        </w:rPr>
        <w:t>万亩，完成义务植树约</w:t>
      </w:r>
      <w:r>
        <w:rPr>
          <w:rFonts w:hint="eastAsia" w:ascii="仿宋" w:hAnsi="仿宋" w:eastAsia="仿宋" w:cs="仿宋"/>
          <w:color w:val="auto"/>
          <w:sz w:val="32"/>
          <w:szCs w:val="32"/>
          <w:lang w:val="en-US" w:eastAsia="zh-CN"/>
        </w:rPr>
        <w:t>132.28</w:t>
      </w:r>
      <w:r>
        <w:rPr>
          <w:rFonts w:hint="eastAsia" w:ascii="仿宋" w:hAnsi="仿宋" w:eastAsia="仿宋" w:cs="仿宋"/>
          <w:color w:val="auto"/>
          <w:sz w:val="32"/>
          <w:szCs w:val="32"/>
        </w:rPr>
        <w:t>万株，参与人次达</w:t>
      </w:r>
      <w:r>
        <w:rPr>
          <w:rFonts w:hint="eastAsia" w:ascii="仿宋" w:hAnsi="仿宋" w:eastAsia="仿宋" w:cs="仿宋"/>
          <w:color w:val="auto"/>
          <w:sz w:val="32"/>
          <w:szCs w:val="32"/>
          <w:lang w:val="en-US" w:eastAsia="zh-CN"/>
        </w:rPr>
        <w:t>40</w:t>
      </w:r>
      <w:r>
        <w:rPr>
          <w:rFonts w:hint="eastAsia" w:ascii="仿宋" w:hAnsi="仿宋" w:eastAsia="仿宋" w:cs="仿宋"/>
          <w:color w:val="auto"/>
          <w:sz w:val="32"/>
          <w:szCs w:val="32"/>
        </w:rPr>
        <w:t>万人次。现有义务植树基地</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处，</w:t>
      </w:r>
      <w:r>
        <w:rPr>
          <w:rFonts w:hint="eastAsia" w:ascii="仿宋" w:hAnsi="仿宋" w:eastAsia="仿宋" w:cs="仿宋"/>
          <w:color w:val="auto"/>
          <w:sz w:val="32"/>
          <w:szCs w:val="32"/>
        </w:rPr>
        <w:t>面积</w:t>
      </w:r>
      <w:r>
        <w:rPr>
          <w:rFonts w:hint="eastAsia" w:ascii="仿宋" w:hAnsi="仿宋" w:eastAsia="仿宋" w:cs="仿宋"/>
          <w:color w:val="auto"/>
          <w:sz w:val="32"/>
          <w:szCs w:val="32"/>
          <w:lang w:val="en-US" w:eastAsia="zh-CN"/>
        </w:rPr>
        <w:t>350</w:t>
      </w:r>
      <w:r>
        <w:rPr>
          <w:rFonts w:hint="eastAsia" w:ascii="仿宋" w:hAnsi="仿宋" w:eastAsia="仿宋" w:cs="仿宋"/>
          <w:color w:val="auto"/>
          <w:sz w:val="32"/>
          <w:szCs w:val="32"/>
        </w:rPr>
        <w:t>亩。</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生物多样性保护水平不断提高。</w:t>
      </w:r>
      <w:r>
        <w:rPr>
          <w:rFonts w:hint="eastAsia" w:ascii="仿宋" w:hAnsi="仿宋" w:eastAsia="仿宋" w:cs="仿宋"/>
          <w:color w:val="auto"/>
          <w:sz w:val="32"/>
          <w:szCs w:val="32"/>
        </w:rPr>
        <w:t>持续开展巡山清套、联合执法、收容救护、疫源疫病监测等野保专项工作，有效遏制破坏野生动物资源等违法行为。</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生态文明体制改革成效突出</w:t>
      </w:r>
      <w:r>
        <w:rPr>
          <w:rFonts w:hint="default" w:ascii="仿宋" w:hAnsi="仿宋" w:eastAsia="仿宋" w:cs="仿宋"/>
          <w:b/>
          <w:bCs/>
          <w:color w:val="auto"/>
          <w:sz w:val="32"/>
          <w:szCs w:val="32"/>
        </w:rPr>
        <w:t>。</w:t>
      </w:r>
      <w:r>
        <w:rPr>
          <w:rFonts w:hint="eastAsia" w:ascii="仿宋" w:hAnsi="仿宋" w:eastAsia="仿宋" w:cs="仿宋"/>
          <w:color w:val="auto"/>
          <w:sz w:val="32"/>
          <w:szCs w:val="32"/>
        </w:rPr>
        <w:t>生态环境保护制度日益健全。建立健全了环境保护考评机制、生态环境执法机制、责任追究机制等15项制度，形成了生态环境保护大格局。环境治理体系现代化扎实推进。完善了国土空间规划和用途统筹协调管控制度、以排污许可制为核心的固定污染源监管制度，生态环境监管治理水平进一步提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资源管控利用制度逐渐完善，推进完善自然资源产权、资源有偿使用、资源总量管理节约、生态补偿、垃圾分类及资源化利用等制度，自然资源得到有效保护，废弃资源逐步实现合理利用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生态保护和修复制度渐成体系。统筹山水林田湖草一体化保护和修复，强化森林、草原、湿地等自然生态保护和修复，加强了以国家公园为主体的自然保护地体系的生态系统保护修复，全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生态优势更加明显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态环境保护责任制度落实更加有力。建立了生态文明建设目标评价考核、环境损害赔偿和责任追究、公益诉讼等制度，推进生态环境保护综合行政执法体制改革，落实中央生态环境保护督察制度，严格落实企业主体责任和政府监管责任，建立了重奖重罚、真抓严管、严格执法的生态环境保护工作机制。</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cs="仿宋"/>
          <w:b/>
          <w:color w:val="auto"/>
          <w:sz w:val="32"/>
          <w:szCs w:val="32"/>
        </w:rPr>
      </w:pPr>
      <w:r>
        <w:rPr>
          <w:rFonts w:hint="eastAsia" w:ascii="楷体" w:hAnsi="楷体" w:eastAsia="楷体" w:cs="仿宋"/>
          <w:b/>
          <w:color w:val="auto"/>
          <w:sz w:val="32"/>
          <w:szCs w:val="32"/>
        </w:rPr>
        <w:t>（</w:t>
      </w:r>
      <w:r>
        <w:rPr>
          <w:rFonts w:hint="default" w:ascii="楷体" w:hAnsi="楷体" w:eastAsia="楷体" w:cs="仿宋"/>
          <w:b/>
          <w:color w:val="auto"/>
          <w:sz w:val="32"/>
          <w:szCs w:val="32"/>
        </w:rPr>
        <w:t>二</w:t>
      </w:r>
      <w:r>
        <w:rPr>
          <w:rFonts w:hint="eastAsia" w:ascii="楷体" w:hAnsi="楷体" w:eastAsia="楷体" w:cs="仿宋"/>
          <w:b/>
          <w:color w:val="auto"/>
          <w:sz w:val="32"/>
          <w:szCs w:val="32"/>
        </w:rPr>
        <w:t>）存在的</w:t>
      </w:r>
      <w:r>
        <w:rPr>
          <w:rFonts w:hint="default" w:ascii="楷体" w:hAnsi="楷体" w:eastAsia="楷体" w:cs="仿宋"/>
          <w:b/>
          <w:color w:val="auto"/>
          <w:sz w:val="32"/>
          <w:szCs w:val="32"/>
        </w:rPr>
        <w:t>主要</w:t>
      </w:r>
      <w:r>
        <w:rPr>
          <w:rFonts w:hint="eastAsia" w:ascii="楷体" w:hAnsi="楷体" w:eastAsia="楷体" w:cs="仿宋"/>
          <w:b/>
          <w:color w:val="auto"/>
          <w:sz w:val="32"/>
          <w:szCs w:val="32"/>
        </w:rPr>
        <w:t>问题</w:t>
      </w:r>
    </w:p>
    <w:p>
      <w:pPr>
        <w:keepNext w:val="0"/>
        <w:keepLines w:val="0"/>
        <w:pageBreakBefore w:val="0"/>
        <w:widowControl w:val="0"/>
        <w:kinsoku/>
        <w:wordWrap/>
        <w:overflowPunct/>
        <w:topLinePunct w:val="0"/>
        <w:autoSpaceDE/>
        <w:autoSpaceDN/>
        <w:bidi w:val="0"/>
        <w:adjustRightInd/>
        <w:spacing w:line="600" w:lineRule="exact"/>
        <w:ind w:firstLine="608" w:firstLineChars="200"/>
        <w:textAlignment w:val="auto"/>
        <w:rPr>
          <w:rFonts w:ascii="仿宋" w:hAnsi="仿宋" w:eastAsia="仿宋" w:cs="仿宋"/>
          <w:color w:val="auto"/>
          <w:sz w:val="32"/>
          <w:szCs w:val="32"/>
        </w:rPr>
      </w:pPr>
      <w:r>
        <w:rPr>
          <w:rFonts w:hint="eastAsia" w:ascii="Times New Roman" w:hAnsi="Times New Roman" w:eastAsia="仿宋" w:cs="仿宋"/>
          <w:color w:val="auto"/>
          <w:spacing w:val="-8"/>
          <w:sz w:val="32"/>
          <w:szCs w:val="32"/>
        </w:rPr>
        <w:t>全</w:t>
      </w:r>
      <w:r>
        <w:rPr>
          <w:rFonts w:hint="eastAsia" w:ascii="Times New Roman" w:hAnsi="Times New Roman" w:eastAsia="仿宋" w:cs="仿宋"/>
          <w:color w:val="auto"/>
          <w:spacing w:val="-8"/>
          <w:sz w:val="32"/>
          <w:szCs w:val="32"/>
          <w:lang w:eastAsia="zh-CN"/>
        </w:rPr>
        <w:t>县</w:t>
      </w:r>
      <w:r>
        <w:rPr>
          <w:rFonts w:hint="eastAsia" w:ascii="Times New Roman" w:hAnsi="Times New Roman" w:eastAsia="仿宋" w:cs="仿宋"/>
          <w:color w:val="auto"/>
          <w:spacing w:val="-8"/>
          <w:sz w:val="32"/>
          <w:szCs w:val="32"/>
        </w:rPr>
        <w:t>生态环境保护仍处于关键期、攻坚期、窗口期，与建设美丽鸡</w:t>
      </w:r>
      <w:r>
        <w:rPr>
          <w:rFonts w:hint="eastAsia" w:ascii="Times New Roman" w:hAnsi="Times New Roman" w:eastAsia="仿宋" w:cs="仿宋"/>
          <w:color w:val="auto"/>
          <w:spacing w:val="-8"/>
          <w:sz w:val="32"/>
          <w:szCs w:val="32"/>
          <w:lang w:eastAsia="zh-CN"/>
        </w:rPr>
        <w:t>东</w:t>
      </w:r>
      <w:r>
        <w:rPr>
          <w:rFonts w:hint="eastAsia" w:ascii="Times New Roman" w:hAnsi="Times New Roman" w:eastAsia="仿宋" w:cs="仿宋"/>
          <w:color w:val="auto"/>
          <w:spacing w:val="-8"/>
          <w:sz w:val="32"/>
          <w:szCs w:val="32"/>
        </w:rPr>
        <w:t>要求相比，还面临着一些深层次问题和矛盾。</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jc w:val="left"/>
        <w:textAlignment w:val="auto"/>
        <w:rPr>
          <w:rFonts w:ascii="仿宋" w:hAnsi="仿宋" w:eastAsia="仿宋" w:cs="宋体"/>
          <w:color w:val="auto"/>
          <w:sz w:val="32"/>
          <w:szCs w:val="32"/>
          <w:lang w:val="zh-CN"/>
        </w:rPr>
      </w:pPr>
      <w:r>
        <w:rPr>
          <w:rFonts w:hint="eastAsia" w:ascii="仿宋" w:hAnsi="仿宋" w:eastAsia="仿宋" w:cs="宋体"/>
          <w:b/>
          <w:bCs/>
          <w:color w:val="auto"/>
          <w:sz w:val="32"/>
          <w:szCs w:val="32"/>
          <w:lang w:val="zh-CN"/>
        </w:rPr>
        <w:t>生态环境结构性矛盾仍然突出。</w:t>
      </w:r>
      <w:r>
        <w:rPr>
          <w:rFonts w:hint="eastAsia" w:ascii="仿宋" w:hAnsi="仿宋" w:eastAsia="仿宋" w:cs="宋体"/>
          <w:color w:val="auto"/>
          <w:sz w:val="32"/>
          <w:szCs w:val="32"/>
          <w:lang w:val="zh-CN"/>
        </w:rPr>
        <w:t>鸡东依煤而建，生态环境问题的结构性、根源性、趋势性压力总体没有得到缓解，污染排放和生态环境保护的严峻形势没有根本改变，以煤为主的能源结构和以公路货运为主的运输结构没有根本改变，特殊的地理位置带来的冬季燃煤污染，采暖期重污染天气多发，生态环境质量从量变到质变的拐点尚未到来。</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jc w:val="left"/>
        <w:textAlignment w:val="auto"/>
        <w:rPr>
          <w:rFonts w:ascii="仿宋" w:hAnsi="仿宋" w:eastAsia="仿宋" w:cs="宋体"/>
          <w:color w:val="auto"/>
          <w:sz w:val="32"/>
          <w:szCs w:val="32"/>
          <w:lang w:val="zh-CN"/>
        </w:rPr>
      </w:pPr>
      <w:bookmarkStart w:id="4" w:name="_Toc51315585"/>
      <w:bookmarkStart w:id="5" w:name="_Toc15032"/>
      <w:bookmarkStart w:id="6" w:name="_Toc413324717"/>
      <w:bookmarkStart w:id="7" w:name="_Toc476334058"/>
      <w:r>
        <w:rPr>
          <w:rFonts w:hint="eastAsia" w:ascii="仿宋" w:hAnsi="仿宋" w:eastAsia="仿宋" w:cs="宋体"/>
          <w:b/>
          <w:bCs/>
          <w:color w:val="auto"/>
          <w:sz w:val="32"/>
          <w:szCs w:val="32"/>
          <w:lang w:val="zh-CN"/>
        </w:rPr>
        <w:t>土壤环境风险管控水平有待巩固提升。</w:t>
      </w:r>
      <w:r>
        <w:rPr>
          <w:rFonts w:hint="eastAsia" w:ascii="仿宋" w:hAnsi="仿宋" w:eastAsia="仿宋" w:cs="宋体"/>
          <w:color w:val="auto"/>
          <w:sz w:val="32"/>
          <w:szCs w:val="32"/>
          <w:lang w:val="zh-CN"/>
        </w:rPr>
        <w:t>农用地分类管理和安全利用长效管理机制有待健全，污染地块再开发利用准入管理机制需要进一步完善，农业面源污染突出，“三减”压力较大</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传统农药、化肥施用习惯和废弃包装物随意丢弃现象依然存在，土壤污染环境隐患风险防控任务艰巨</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zh-CN"/>
        </w:rPr>
        <w:t>黑土地退化趋势尚未得到有效遏制。</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jc w:val="left"/>
        <w:textAlignment w:val="auto"/>
        <w:rPr>
          <w:rFonts w:ascii="仿宋" w:hAnsi="仿宋" w:eastAsia="仿宋" w:cs="宋体"/>
          <w:color w:val="auto"/>
          <w:sz w:val="32"/>
          <w:szCs w:val="32"/>
          <w:lang w:val="zh-CN"/>
        </w:rPr>
      </w:pPr>
      <w:r>
        <w:rPr>
          <w:rFonts w:hint="eastAsia" w:ascii="仿宋" w:hAnsi="仿宋" w:eastAsia="仿宋" w:cs="宋体"/>
          <w:b/>
          <w:bCs/>
          <w:color w:val="auto"/>
          <w:sz w:val="32"/>
          <w:szCs w:val="32"/>
          <w:lang w:val="zh-CN"/>
        </w:rPr>
        <w:t>农村环境污染防治任重道远。</w:t>
      </w:r>
      <w:r>
        <w:rPr>
          <w:rFonts w:hint="eastAsia" w:ascii="仿宋" w:hAnsi="仿宋" w:eastAsia="仿宋" w:cs="宋体"/>
          <w:color w:val="auto"/>
          <w:sz w:val="32"/>
          <w:szCs w:val="32"/>
        </w:rPr>
        <w:t>农村</w:t>
      </w:r>
      <w:r>
        <w:rPr>
          <w:rFonts w:hint="eastAsia" w:ascii="仿宋" w:hAnsi="仿宋" w:eastAsia="仿宋" w:cs="宋体"/>
          <w:color w:val="auto"/>
          <w:sz w:val="32"/>
          <w:szCs w:val="32"/>
          <w:lang w:val="zh-CN"/>
        </w:rPr>
        <w:t>垃圾处理基础设施薄弱，</w:t>
      </w:r>
      <w:r>
        <w:rPr>
          <w:rFonts w:hint="eastAsia" w:ascii="仿宋" w:hAnsi="仿宋" w:eastAsia="仿宋" w:cs="宋体"/>
          <w:color w:val="auto"/>
          <w:sz w:val="32"/>
          <w:szCs w:val="32"/>
        </w:rPr>
        <w:t>畜禽养殖废弃物资源化利用设施装备配套率不高，</w:t>
      </w:r>
      <w:r>
        <w:rPr>
          <w:rFonts w:hint="eastAsia" w:ascii="仿宋" w:hAnsi="仿宋" w:eastAsia="仿宋" w:cs="宋体"/>
          <w:color w:val="auto"/>
          <w:sz w:val="32"/>
          <w:szCs w:val="32"/>
          <w:lang w:val="zh-CN"/>
        </w:rPr>
        <w:t>农村生活污水治理设施建设和管理维护机制尚未建立，资金筹措和市场化运作体系不完善，农村环境综合整治资金投入严重不足。</w:t>
      </w:r>
    </w:p>
    <w:p>
      <w:pPr>
        <w:pStyle w:val="4"/>
        <w:keepNext w:val="0"/>
        <w:keepLines w:val="0"/>
        <w:pageBreakBefore w:val="0"/>
        <w:widowControl w:val="0"/>
        <w:kinsoku/>
        <w:wordWrap/>
        <w:overflowPunct/>
        <w:topLinePunct w:val="0"/>
        <w:autoSpaceDE/>
        <w:autoSpaceDN/>
        <w:bidi w:val="0"/>
        <w:adjustRightInd/>
        <w:snapToGrid/>
        <w:spacing w:before="272" w:line="600" w:lineRule="exact"/>
        <w:ind w:right="81" w:firstLine="629"/>
        <w:textAlignment w:val="auto"/>
        <w:rPr>
          <w:rFonts w:hint="eastAsia" w:ascii="Times New Roman" w:hAnsi="Times New Roman" w:eastAsia="仿宋" w:cs="仿宋"/>
          <w:color w:val="auto"/>
          <w:kern w:val="2"/>
          <w:sz w:val="32"/>
          <w:szCs w:val="32"/>
          <w:lang w:val="zh-CN" w:eastAsia="zh-CN" w:bidi="ar-SA"/>
        </w:rPr>
      </w:pPr>
      <w:r>
        <w:rPr>
          <w:rFonts w:hint="eastAsia" w:ascii="Times New Roman" w:hAnsi="Times New Roman" w:eastAsia="仿宋" w:cs="仿宋"/>
          <w:b/>
          <w:bCs/>
          <w:color w:val="auto"/>
          <w:sz w:val="32"/>
          <w:szCs w:val="32"/>
        </w:rPr>
        <w:t>生态建设与修复工作仍需加强</w:t>
      </w:r>
      <w:r>
        <w:rPr>
          <w:rFonts w:hint="eastAsia" w:ascii="Times New Roman" w:hAnsi="Times New Roman" w:eastAsia="仿宋" w:cs="仿宋"/>
          <w:b/>
          <w:bCs/>
          <w:color w:val="auto"/>
          <w:sz w:val="32"/>
          <w:szCs w:val="32"/>
          <w:lang w:val="zh-CN"/>
        </w:rPr>
        <w:t>。</w:t>
      </w:r>
      <w:r>
        <w:rPr>
          <w:rFonts w:hint="eastAsia" w:ascii="Times New Roman" w:hAnsi="Times New Roman" w:eastAsia="仿宋" w:cs="仿宋"/>
          <w:color w:val="auto"/>
          <w:kern w:val="2"/>
          <w:sz w:val="32"/>
          <w:szCs w:val="32"/>
          <w:lang w:val="zh-CN" w:eastAsia="zh-CN" w:bidi="ar-SA"/>
        </w:rPr>
        <w:t>造林树木生长周期长， 短期内很难获得经济效益，在一定程度上影响了社会资本对造林资金投入和参与，造林模式有待改进。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Times New Roman" w:hAnsi="Times New Roman" w:eastAsia="仿宋" w:cs="仿宋"/>
          <w:color w:val="auto"/>
          <w:sz w:val="32"/>
          <w:szCs w:val="32"/>
          <w:lang w:val="zh-CN"/>
        </w:rPr>
      </w:pPr>
      <w:r>
        <w:rPr>
          <w:rFonts w:hint="eastAsia" w:ascii="Times New Roman" w:hAnsi="Times New Roman" w:eastAsia="仿宋" w:cs="仿宋"/>
          <w:color w:val="auto"/>
          <w:sz w:val="32"/>
          <w:szCs w:val="32"/>
          <w:lang w:val="zh-CN"/>
        </w:rPr>
        <w:t>县、区政府对生物多样性及自然保护区管理工作重视不够，资金投入少，专业人才缺乏。生态移民、退耕等工作由于资金缺口大，很难达到效果。水土保持体系不完善、治理能力不足。</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jc w:val="left"/>
        <w:textAlignment w:val="auto"/>
        <w:rPr>
          <w:rFonts w:ascii="仿宋" w:hAnsi="仿宋" w:eastAsia="仿宋" w:cs="宋体"/>
          <w:color w:val="auto"/>
          <w:sz w:val="32"/>
          <w:szCs w:val="32"/>
          <w:lang w:val="zh-CN"/>
        </w:rPr>
      </w:pPr>
      <w:r>
        <w:rPr>
          <w:rFonts w:hint="eastAsia" w:ascii="仿宋" w:hAnsi="仿宋" w:eastAsia="仿宋" w:cs="宋体"/>
          <w:b/>
          <w:bCs/>
          <w:color w:val="auto"/>
          <w:sz w:val="32"/>
          <w:szCs w:val="32"/>
        </w:rPr>
        <w:t>资源保护和违法问题处理方面相对薄弱。</w:t>
      </w:r>
      <w:r>
        <w:rPr>
          <w:rFonts w:hint="eastAsia" w:ascii="仿宋" w:hAnsi="仿宋" w:eastAsia="仿宋" w:cs="宋体"/>
          <w:color w:val="auto"/>
          <w:sz w:val="32"/>
          <w:szCs w:val="32"/>
          <w:lang w:val="zh-CN"/>
        </w:rPr>
        <w:t>生态文明制度体系相关理论和实践问题大多没有现成的经验可参考可借鉴，只能“边干边学边探索”。同时由于土地、矿产、森林、草原、湿地等自然资源分布太广，在资源保护和违法问题处理方面执法力量相对薄弱。</w:t>
      </w:r>
    </w:p>
    <w:bookmarkEnd w:id="4"/>
    <w:bookmarkEnd w:id="5"/>
    <w:bookmarkEnd w:id="6"/>
    <w:bookmarkEnd w:id="7"/>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cs="仿宋"/>
          <w:b/>
          <w:color w:val="auto"/>
          <w:sz w:val="32"/>
          <w:szCs w:val="32"/>
        </w:rPr>
      </w:pPr>
      <w:r>
        <w:rPr>
          <w:rFonts w:hint="eastAsia" w:ascii="楷体" w:hAnsi="楷体" w:eastAsia="楷体" w:cs="仿宋"/>
          <w:b/>
          <w:color w:val="auto"/>
          <w:sz w:val="32"/>
          <w:szCs w:val="32"/>
        </w:rPr>
        <w:t>（</w:t>
      </w:r>
      <w:r>
        <w:rPr>
          <w:rFonts w:hint="default" w:ascii="楷体" w:hAnsi="楷体" w:eastAsia="楷体" w:cs="仿宋"/>
          <w:b/>
          <w:color w:val="auto"/>
          <w:sz w:val="32"/>
          <w:szCs w:val="32"/>
        </w:rPr>
        <w:t>三</w:t>
      </w:r>
      <w:r>
        <w:rPr>
          <w:rFonts w:hint="eastAsia" w:ascii="楷体" w:hAnsi="楷体" w:eastAsia="楷体" w:cs="仿宋"/>
          <w:b/>
          <w:color w:val="auto"/>
          <w:sz w:val="32"/>
          <w:szCs w:val="32"/>
        </w:rPr>
        <w:t>）面临的</w:t>
      </w:r>
      <w:r>
        <w:rPr>
          <w:rFonts w:hint="default" w:ascii="楷体" w:hAnsi="楷体" w:eastAsia="楷体" w:cs="仿宋"/>
          <w:b/>
          <w:color w:val="auto"/>
          <w:sz w:val="32"/>
          <w:szCs w:val="32"/>
        </w:rPr>
        <w:t>主要</w:t>
      </w:r>
      <w:r>
        <w:rPr>
          <w:rFonts w:hint="eastAsia" w:ascii="楷体" w:hAnsi="楷体" w:eastAsia="楷体" w:cs="仿宋"/>
          <w:b/>
          <w:color w:val="auto"/>
          <w:sz w:val="32"/>
          <w:szCs w:val="32"/>
        </w:rPr>
        <w:t>机遇</w:t>
      </w:r>
    </w:p>
    <w:p>
      <w:pPr>
        <w:keepNext w:val="0"/>
        <w:keepLines w:val="0"/>
        <w:pageBreakBefore w:val="0"/>
        <w:widowControl w:val="0"/>
        <w:kinsoku/>
        <w:wordWrap/>
        <w:overflowPunct/>
        <w:topLinePunct w:val="0"/>
        <w:autoSpaceDE/>
        <w:autoSpaceDN/>
        <w:bidi w:val="0"/>
        <w:adjustRightInd/>
        <w:snapToGrid/>
        <w:spacing w:line="600" w:lineRule="exact"/>
        <w:ind w:firstLine="658"/>
        <w:textAlignment w:val="auto"/>
        <w:rPr>
          <w:rFonts w:hint="default" w:ascii="Times New Roman" w:hAnsi="Times New Roman" w:eastAsia="仿宋" w:cs="仿宋"/>
          <w:color w:val="auto"/>
          <w:sz w:val="32"/>
          <w:szCs w:val="32"/>
        </w:rPr>
      </w:pPr>
      <w:r>
        <w:rPr>
          <w:rFonts w:hint="eastAsia" w:ascii="Times New Roman" w:hAnsi="Times New Roman" w:eastAsia="仿宋" w:cs="仿宋"/>
          <w:color w:val="auto"/>
          <w:sz w:val="32"/>
          <w:szCs w:val="32"/>
        </w:rPr>
        <w:t>习近平总书记强调，要挖掘黑龙江丰富的生态资源和区位优势，贯彻绿水青山就是金山银山、冰天雪地也是金山银山的理念，落实和深化国有自然资源资产管理、生态环境监管、国家公园、生态补偿等生态文明改革举措，加快统筹山水林田湖草治理，使天更蓝、山更绿、水更清</w:t>
      </w:r>
      <w:r>
        <w:rPr>
          <w:rFonts w:hint="default" w:ascii="Times New Roman" w:hAnsi="Times New Roman" w:eastAsia="仿宋" w:cs="仿宋"/>
          <w:color w:val="auto"/>
          <w:sz w:val="32"/>
          <w:szCs w:val="32"/>
        </w:rPr>
        <w:t>，为我</w:t>
      </w:r>
      <w:r>
        <w:rPr>
          <w:rFonts w:hint="eastAsia" w:ascii="Times New Roman" w:hAnsi="Times New Roman" w:eastAsia="仿宋" w:cs="仿宋"/>
          <w:color w:val="auto"/>
          <w:sz w:val="32"/>
          <w:szCs w:val="32"/>
          <w:lang w:eastAsia="zh-CN"/>
        </w:rPr>
        <w:t>县</w:t>
      </w:r>
      <w:r>
        <w:rPr>
          <w:rFonts w:hint="default" w:ascii="Times New Roman" w:hAnsi="Times New Roman" w:eastAsia="仿宋" w:cs="仿宋"/>
          <w:color w:val="auto"/>
          <w:sz w:val="32"/>
          <w:szCs w:val="32"/>
        </w:rPr>
        <w:t>生态环境保护工作指明了方向。</w:t>
      </w:r>
    </w:p>
    <w:p>
      <w:pPr>
        <w:keepNext w:val="0"/>
        <w:keepLines w:val="0"/>
        <w:pageBreakBefore w:val="0"/>
        <w:widowControl w:val="0"/>
        <w:kinsoku/>
        <w:wordWrap/>
        <w:overflowPunct/>
        <w:topLinePunct w:val="0"/>
        <w:autoSpaceDE/>
        <w:autoSpaceDN/>
        <w:bidi w:val="0"/>
        <w:adjustRightInd/>
        <w:snapToGrid/>
        <w:spacing w:line="600" w:lineRule="exact"/>
        <w:ind w:firstLine="658"/>
        <w:textAlignment w:val="auto"/>
        <w:rPr>
          <w:rFonts w:hint="eastAsia" w:ascii="Times New Roman" w:hAnsi="Times New Roman" w:eastAsia="仿宋" w:cs="仿宋"/>
          <w:color w:val="auto"/>
          <w:sz w:val="32"/>
          <w:szCs w:val="32"/>
        </w:rPr>
      </w:pPr>
      <w:r>
        <w:rPr>
          <w:rFonts w:hint="eastAsia" w:ascii="仿宋" w:hAnsi="仿宋" w:eastAsia="仿宋" w:cs="仿宋"/>
          <w:color w:val="auto"/>
          <w:sz w:val="32"/>
          <w:szCs w:val="32"/>
          <w:lang w:eastAsia="zh-CN"/>
        </w:rPr>
        <w:t>鸡东县</w:t>
      </w:r>
      <w:r>
        <w:rPr>
          <w:rFonts w:hint="eastAsia" w:ascii="Times New Roman" w:hAnsi="Times New Roman" w:eastAsia="仿宋" w:cs="仿宋"/>
          <w:color w:val="auto"/>
          <w:sz w:val="32"/>
          <w:szCs w:val="32"/>
        </w:rPr>
        <w:t>将开启美丽</w:t>
      </w:r>
      <w:r>
        <w:rPr>
          <w:rFonts w:hint="eastAsia" w:ascii="Times New Roman" w:hAnsi="Times New Roman" w:eastAsia="仿宋" w:cs="仿宋"/>
          <w:color w:val="auto"/>
          <w:sz w:val="32"/>
          <w:szCs w:val="32"/>
          <w:lang w:eastAsia="zh-CN"/>
        </w:rPr>
        <w:t>鸡东</w:t>
      </w:r>
      <w:r>
        <w:rPr>
          <w:rFonts w:hint="eastAsia" w:ascii="Times New Roman" w:hAnsi="Times New Roman" w:eastAsia="仿宋" w:cs="仿宋"/>
          <w:color w:val="auto"/>
          <w:sz w:val="32"/>
          <w:szCs w:val="32"/>
        </w:rPr>
        <w:t>建设新征程，生态环境保护进入以降碳为重点战略方向、推动减污降碳协同增效、促进经济社会发展全面绿色转型、实现生态环境质量改善由量变到质变的关键时期，面临着难得的历史机遇。</w:t>
      </w:r>
    </w:p>
    <w:p>
      <w:pPr>
        <w:keepNext w:val="0"/>
        <w:keepLines w:val="0"/>
        <w:pageBreakBefore w:val="0"/>
        <w:widowControl w:val="0"/>
        <w:kinsoku/>
        <w:wordWrap/>
        <w:overflowPunct/>
        <w:topLinePunct w:val="0"/>
        <w:autoSpaceDE/>
        <w:autoSpaceDN/>
        <w:bidi w:val="0"/>
        <w:adjustRightInd/>
        <w:snapToGrid/>
        <w:spacing w:line="600" w:lineRule="exact"/>
        <w:ind w:firstLine="658"/>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党中央、国务院出台一系列支持东北振兴的政策措施，为鸡</w:t>
      </w:r>
      <w:r>
        <w:rPr>
          <w:rFonts w:hint="eastAsia" w:ascii="Times New Roman" w:hAnsi="Times New Roman" w:eastAsia="仿宋" w:cs="仿宋"/>
          <w:color w:val="auto"/>
          <w:sz w:val="32"/>
          <w:szCs w:val="32"/>
          <w:lang w:eastAsia="zh-CN"/>
        </w:rPr>
        <w:t>东县</w:t>
      </w:r>
      <w:r>
        <w:rPr>
          <w:rFonts w:hint="eastAsia" w:ascii="Times New Roman" w:hAnsi="Times New Roman" w:eastAsia="仿宋" w:cs="仿宋"/>
          <w:color w:val="auto"/>
          <w:sz w:val="32"/>
          <w:szCs w:val="32"/>
        </w:rPr>
        <w:t>“十四五”时期加强生态文明建设和环境保护，深入打好污染防治攻坚战，持续改善生态环境质量，筑牢国家生态安全屏障，加速生态优势转化，全力推动绿色低碳发展，推动经济高质量发展，助力老工业基地全面振兴全方位振兴，</w:t>
      </w:r>
      <w:r>
        <w:rPr>
          <w:rFonts w:hint="eastAsia" w:ascii="仿宋" w:hAnsi="仿宋" w:eastAsia="仿宋" w:cs="宋体"/>
          <w:color w:val="auto"/>
          <w:sz w:val="32"/>
          <w:szCs w:val="32"/>
          <w:lang w:val="zh-CN"/>
        </w:rPr>
        <w:t>解决矿产资源型城市发展与环境保护日益显现的矛盾，</w:t>
      </w:r>
      <w:r>
        <w:rPr>
          <w:rFonts w:hint="eastAsia" w:ascii="Times New Roman" w:hAnsi="Times New Roman" w:eastAsia="仿宋" w:cs="仿宋"/>
          <w:color w:val="auto"/>
          <w:sz w:val="32"/>
          <w:szCs w:val="32"/>
        </w:rPr>
        <w:t>带来了前所未有的政策机遇。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宋体" w:eastAsia="方正小标宋简体" w:cs="宋体"/>
          <w:color w:val="auto"/>
          <w:sz w:val="36"/>
          <w:szCs w:val="36"/>
        </w:rPr>
      </w:pPr>
      <w:bookmarkStart w:id="8" w:name="_Toc447617793"/>
      <w:bookmarkStart w:id="9" w:name="_Toc51315586"/>
      <w:bookmarkStart w:id="10" w:name="_Toc476334059"/>
      <w:r>
        <w:rPr>
          <w:rFonts w:hint="eastAsia" w:ascii="黑体" w:hAnsi="黑体" w:eastAsia="黑体" w:cs="仿宋"/>
          <w:color w:val="auto"/>
          <w:sz w:val="32"/>
          <w:szCs w:val="32"/>
        </w:rPr>
        <w:t>二、</w:t>
      </w:r>
      <w:bookmarkEnd w:id="8"/>
      <w:bookmarkEnd w:id="9"/>
      <w:bookmarkEnd w:id="10"/>
      <w:r>
        <w:rPr>
          <w:rFonts w:hint="eastAsia" w:ascii="黑体" w:hAnsi="黑体" w:eastAsia="黑体" w:cs="仿宋"/>
          <w:color w:val="auto"/>
          <w:sz w:val="32"/>
          <w:szCs w:val="32"/>
        </w:rPr>
        <w:t>总体要求</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楷体" w:hAnsi="楷体" w:eastAsia="楷体" w:cs="仿宋"/>
          <w:b/>
          <w:color w:val="auto"/>
          <w:sz w:val="32"/>
          <w:szCs w:val="32"/>
        </w:rPr>
      </w:pPr>
      <w:r>
        <w:rPr>
          <w:rFonts w:hint="eastAsia" w:ascii="楷体" w:hAnsi="楷体" w:eastAsia="楷体" w:cs="仿宋"/>
          <w:b/>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auto"/>
          <w:sz w:val="32"/>
          <w:szCs w:val="32"/>
        </w:rPr>
      </w:pPr>
      <w:r>
        <w:rPr>
          <w:rFonts w:hint="eastAsia" w:ascii="Times New Roman" w:hAnsi="Times New Roman" w:eastAsia="仿宋" w:cs="仿宋"/>
          <w:color w:val="auto"/>
          <w:sz w:val="32"/>
          <w:szCs w:val="32"/>
        </w:rPr>
        <w:t>坚持以习近平新时代中国特色社会主义思想和</w:t>
      </w:r>
      <w:r>
        <w:rPr>
          <w:rFonts w:hint="eastAsia" w:ascii="Times New Roman" w:hAnsi="Times New Roman" w:eastAsia="仿宋" w:cs="仿宋"/>
          <w:color w:val="auto"/>
          <w:sz w:val="32"/>
          <w:szCs w:val="32"/>
          <w:lang w:eastAsia="zh-CN"/>
        </w:rPr>
        <w:t>习近平</w:t>
      </w:r>
      <w:r>
        <w:rPr>
          <w:rFonts w:hint="eastAsia" w:ascii="Times New Roman" w:hAnsi="Times New Roman" w:eastAsia="仿宋" w:cs="仿宋"/>
          <w:color w:val="auto"/>
          <w:sz w:val="32"/>
          <w:szCs w:val="32"/>
        </w:rPr>
        <w:t>生态文明思想为指导，全面贯彻落实党的十九大及十九届历次全会、省委十</w:t>
      </w:r>
      <w:r>
        <w:rPr>
          <w:rFonts w:hint="eastAsia" w:ascii="Times New Roman" w:hAnsi="Times New Roman" w:eastAsia="仿宋" w:cs="仿宋"/>
          <w:color w:val="auto"/>
          <w:sz w:val="32"/>
          <w:szCs w:val="32"/>
          <w:lang w:eastAsia="zh-CN"/>
        </w:rPr>
        <w:t>三</w:t>
      </w:r>
      <w:r>
        <w:rPr>
          <w:rFonts w:hint="eastAsia" w:ascii="Times New Roman" w:hAnsi="Times New Roman" w:eastAsia="仿宋" w:cs="仿宋"/>
          <w:color w:val="auto"/>
          <w:sz w:val="32"/>
          <w:szCs w:val="32"/>
        </w:rPr>
        <w:t>大及省委十</w:t>
      </w:r>
      <w:r>
        <w:rPr>
          <w:rFonts w:hint="eastAsia" w:ascii="Times New Roman" w:hAnsi="Times New Roman" w:eastAsia="仿宋" w:cs="仿宋"/>
          <w:color w:val="auto"/>
          <w:sz w:val="32"/>
          <w:szCs w:val="32"/>
          <w:lang w:eastAsia="zh-CN"/>
        </w:rPr>
        <w:t>三</w:t>
      </w:r>
      <w:r>
        <w:rPr>
          <w:rFonts w:hint="eastAsia" w:ascii="Times New Roman" w:hAnsi="Times New Roman" w:eastAsia="仿宋" w:cs="仿宋"/>
          <w:color w:val="auto"/>
          <w:sz w:val="32"/>
          <w:szCs w:val="32"/>
        </w:rPr>
        <w:t>届</w:t>
      </w:r>
      <w:r>
        <w:rPr>
          <w:rFonts w:hint="eastAsia" w:ascii="Times New Roman" w:hAnsi="Times New Roman" w:eastAsia="仿宋" w:cs="仿宋"/>
          <w:color w:val="auto"/>
          <w:sz w:val="32"/>
          <w:szCs w:val="32"/>
          <w:lang w:eastAsia="zh-CN"/>
        </w:rPr>
        <w:t>六</w:t>
      </w:r>
      <w:r>
        <w:rPr>
          <w:rFonts w:hint="eastAsia" w:ascii="Times New Roman" w:hAnsi="Times New Roman" w:eastAsia="仿宋" w:cs="仿宋"/>
          <w:color w:val="auto"/>
          <w:sz w:val="32"/>
          <w:szCs w:val="32"/>
        </w:rPr>
        <w:t>次会议精神和</w:t>
      </w:r>
      <w:r>
        <w:rPr>
          <w:rFonts w:hint="eastAsia" w:ascii="Times New Roman" w:hAnsi="Times New Roman" w:eastAsia="仿宋" w:cs="仿宋"/>
          <w:bCs/>
          <w:color w:val="auto"/>
          <w:sz w:val="32"/>
          <w:szCs w:val="32"/>
        </w:rPr>
        <w:t>鸡西市第十四次党代会精</w:t>
      </w:r>
      <w:r>
        <w:rPr>
          <w:rFonts w:hint="eastAsia" w:ascii="Times New Roman" w:hAnsi="Times New Roman" w:eastAsia="仿宋" w:cs="仿宋"/>
          <w:color w:val="auto"/>
          <w:sz w:val="32"/>
          <w:szCs w:val="32"/>
        </w:rPr>
        <w:t>神，紧紧围绕“五位一体”总体布局和“四个全面”战略布局，牢固树立习近平总书记“绿水青山就是金山银山”“冰天雪地也是金山银山”的理念，立足新发展阶段，贯彻新发展理念，构建新发展格局，促进鸡</w:t>
      </w:r>
      <w:r>
        <w:rPr>
          <w:rFonts w:hint="eastAsia" w:ascii="Times New Roman" w:hAnsi="Times New Roman" w:eastAsia="仿宋" w:cs="仿宋"/>
          <w:color w:val="auto"/>
          <w:sz w:val="32"/>
          <w:szCs w:val="32"/>
          <w:lang w:eastAsia="zh-CN"/>
        </w:rPr>
        <w:t>东</w:t>
      </w:r>
      <w:r>
        <w:rPr>
          <w:rFonts w:hint="eastAsia" w:ascii="Times New Roman" w:hAnsi="Times New Roman" w:eastAsia="仿宋" w:cs="仿宋"/>
          <w:color w:val="auto"/>
          <w:sz w:val="32"/>
          <w:szCs w:val="32"/>
        </w:rPr>
        <w:t>经济社会发展全面绿色转型，协同推进经济高质量发展和生态环境高水平保护。面向2035年远景目标和生态强市建设目标，把握“减污降碳”持续改善生态环境质量总体要求，以人为本，以解决突出环境问题为导向，以生态环境治理体系和治理能力现代化为支撑，深入打好污染防治攻坚战，协同推进应对气候变化与生态保护修复和环境治理，防范生态环境风险，筑牢生态安全屏障，不断提升人民群众对生态环境的获得感、幸福感和安全感</w:t>
      </w:r>
      <w:r>
        <w:rPr>
          <w:rFonts w:hint="eastAsia" w:ascii="仿宋" w:hAnsi="仿宋" w:eastAsia="仿宋" w:cs="仿宋"/>
          <w:color w:val="auto"/>
          <w:sz w:val="32"/>
          <w:szCs w:val="32"/>
        </w:rPr>
        <w:t>，实现生态文明建设新突破</w:t>
      </w:r>
      <w:r>
        <w:rPr>
          <w:rFonts w:hint="eastAsia" w:ascii="仿宋" w:hAnsi="仿宋" w:eastAsia="仿宋" w:cs="宋体"/>
          <w:color w:val="auto"/>
          <w:sz w:val="32"/>
          <w:szCs w:val="32"/>
        </w:rPr>
        <w:t>，</w:t>
      </w:r>
      <w:r>
        <w:rPr>
          <w:rFonts w:hint="eastAsia" w:ascii="仿宋" w:hAnsi="仿宋" w:eastAsia="仿宋" w:cs="仿宋"/>
          <w:color w:val="auto"/>
          <w:sz w:val="32"/>
          <w:szCs w:val="32"/>
        </w:rPr>
        <w:t>为</w:t>
      </w:r>
      <w:r>
        <w:rPr>
          <w:rFonts w:hint="eastAsia" w:ascii="仿宋" w:hAnsi="仿宋" w:eastAsia="仿宋" w:cs="宋体"/>
          <w:color w:val="auto"/>
          <w:sz w:val="32"/>
          <w:szCs w:val="32"/>
        </w:rPr>
        <w:t>推进鸡</w:t>
      </w:r>
      <w:r>
        <w:rPr>
          <w:rFonts w:hint="eastAsia" w:ascii="仿宋" w:hAnsi="仿宋" w:eastAsia="仿宋" w:cs="宋体"/>
          <w:color w:val="auto"/>
          <w:sz w:val="32"/>
          <w:szCs w:val="32"/>
          <w:lang w:eastAsia="zh-CN"/>
        </w:rPr>
        <w:t>东</w:t>
      </w:r>
      <w:r>
        <w:rPr>
          <w:rFonts w:hint="eastAsia" w:ascii="仿宋" w:hAnsi="仿宋" w:eastAsia="仿宋" w:cs="宋体"/>
          <w:color w:val="auto"/>
          <w:sz w:val="32"/>
          <w:szCs w:val="32"/>
        </w:rPr>
        <w:t>生态文明建设，实现“青山常在、绿水长流、空气常新”的美丽鸡西打下坚实的环境基础，推动形成人与自然和谐发展现代化建设新格局。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楷体" w:hAnsi="楷体" w:eastAsia="楷体" w:cs="仿宋"/>
          <w:b/>
          <w:color w:val="auto"/>
          <w:sz w:val="32"/>
          <w:szCs w:val="32"/>
        </w:rPr>
      </w:pPr>
      <w:bookmarkStart w:id="11" w:name="_Toc51315588"/>
      <w:r>
        <w:rPr>
          <w:rFonts w:hint="eastAsia" w:ascii="楷体" w:hAnsi="楷体" w:eastAsia="楷体" w:cs="仿宋"/>
          <w:b/>
          <w:color w:val="auto"/>
          <w:sz w:val="32"/>
          <w:szCs w:val="32"/>
        </w:rPr>
        <w:t>（二）基本原则</w:t>
      </w:r>
      <w:bookmarkEnd w:id="11"/>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 w:cs="仿宋"/>
          <w:color w:val="auto"/>
          <w:sz w:val="32"/>
          <w:szCs w:val="32"/>
        </w:rPr>
      </w:pPr>
      <w:r>
        <w:rPr>
          <w:rFonts w:hint="default" w:ascii="Times New Roman" w:hAnsi="Times New Roman" w:eastAsia="仿宋" w:cs="仿宋"/>
          <w:b/>
          <w:bCs/>
          <w:color w:val="auto"/>
          <w:sz w:val="32"/>
          <w:szCs w:val="32"/>
        </w:rPr>
        <w:t>——</w:t>
      </w:r>
      <w:r>
        <w:rPr>
          <w:rFonts w:hint="eastAsia" w:ascii="Times New Roman" w:hAnsi="Times New Roman" w:eastAsia="仿宋" w:cs="仿宋"/>
          <w:b/>
          <w:bCs/>
          <w:color w:val="auto"/>
          <w:sz w:val="32"/>
          <w:szCs w:val="32"/>
        </w:rPr>
        <w:t>坚持减污降碳、绿色发展。</w:t>
      </w:r>
      <w:r>
        <w:rPr>
          <w:rFonts w:hint="eastAsia" w:ascii="Times New Roman" w:hAnsi="Times New Roman" w:eastAsia="仿宋" w:cs="仿宋"/>
          <w:color w:val="auto"/>
          <w:sz w:val="32"/>
          <w:szCs w:val="32"/>
        </w:rPr>
        <w:t>深入实施可持续发展战略，推进碳达峰碳中和，把握实现“减污降碳协同效应”总体要求，把降碳摆在更加突出的位置。充分发挥生态环境保护对经济发展的优化促进倒逼作用，加快形成绿色发展方式和生活方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 w:cs="仿宋"/>
          <w:color w:val="auto"/>
          <w:sz w:val="32"/>
          <w:szCs w:val="32"/>
        </w:rPr>
      </w:pPr>
      <w:r>
        <w:rPr>
          <w:rFonts w:hint="default" w:ascii="Times New Roman" w:hAnsi="Times New Roman" w:eastAsia="仿宋" w:cs="仿宋"/>
          <w:b/>
          <w:bCs/>
          <w:color w:val="auto"/>
          <w:sz w:val="32"/>
          <w:szCs w:val="32"/>
        </w:rPr>
        <w:t>——</w:t>
      </w:r>
      <w:r>
        <w:rPr>
          <w:rFonts w:hint="eastAsia" w:ascii="Times New Roman" w:hAnsi="Times New Roman" w:eastAsia="仿宋" w:cs="仿宋"/>
          <w:b/>
          <w:bCs/>
          <w:color w:val="auto"/>
          <w:sz w:val="32"/>
          <w:szCs w:val="32"/>
        </w:rPr>
        <w:t>坚持精准治污、协同增效。</w:t>
      </w:r>
      <w:r>
        <w:rPr>
          <w:rFonts w:hint="eastAsia" w:ascii="Times New Roman" w:hAnsi="Times New Roman" w:eastAsia="仿宋" w:cs="仿宋"/>
          <w:color w:val="auto"/>
          <w:sz w:val="32"/>
          <w:szCs w:val="32"/>
        </w:rPr>
        <w:t>突出精准治污、科学治污、依法治污，从生态系统整体性和流域系统性出发，统筹推进山水林田湖草沙冰一体化保护和修复，增强各项举措的关联性和耦合性，推动生态环境源头治理、系统治理。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 w:cs="仿宋"/>
          <w:color w:val="auto"/>
          <w:sz w:val="32"/>
          <w:szCs w:val="32"/>
        </w:rPr>
      </w:pPr>
      <w:r>
        <w:rPr>
          <w:rFonts w:hint="default" w:ascii="Times New Roman" w:hAnsi="Times New Roman" w:eastAsia="仿宋" w:cs="仿宋"/>
          <w:b/>
          <w:bCs/>
          <w:color w:val="auto"/>
          <w:sz w:val="32"/>
          <w:szCs w:val="32"/>
        </w:rPr>
        <w:t>——</w:t>
      </w:r>
      <w:r>
        <w:rPr>
          <w:rFonts w:hint="eastAsia" w:ascii="Times New Roman" w:hAnsi="Times New Roman" w:eastAsia="仿宋" w:cs="仿宋"/>
          <w:b/>
          <w:bCs/>
          <w:color w:val="auto"/>
          <w:sz w:val="32"/>
          <w:szCs w:val="32"/>
        </w:rPr>
        <w:t>坚持亮剑护绿、人民至上。</w:t>
      </w:r>
      <w:r>
        <w:rPr>
          <w:rFonts w:hint="eastAsia" w:ascii="Times New Roman" w:hAnsi="Times New Roman" w:eastAsia="仿宋" w:cs="仿宋"/>
          <w:color w:val="auto"/>
          <w:sz w:val="32"/>
          <w:szCs w:val="32"/>
        </w:rPr>
        <w:t>依法加强环境治理，严</w:t>
      </w:r>
      <w:r>
        <w:rPr>
          <w:rFonts w:hint="eastAsia" w:ascii="Times New Roman" w:hAnsi="Times New Roman" w:eastAsia="仿宋" w:cs="仿宋"/>
          <w:color w:val="auto"/>
          <w:sz w:val="32"/>
          <w:szCs w:val="32"/>
          <w:lang w:eastAsia="zh-CN"/>
        </w:rPr>
        <w:t>格</w:t>
      </w:r>
      <w:r>
        <w:rPr>
          <w:rFonts w:hint="eastAsia" w:ascii="Times New Roman" w:hAnsi="Times New Roman" w:eastAsia="仿宋" w:cs="仿宋"/>
          <w:color w:val="auto"/>
          <w:sz w:val="32"/>
          <w:szCs w:val="32"/>
        </w:rPr>
        <w:t>生态环境保护督察</w:t>
      </w:r>
      <w:r>
        <w:rPr>
          <w:rFonts w:hint="eastAsia" w:ascii="Times New Roman" w:hAnsi="Times New Roman" w:eastAsia="仿宋" w:cs="仿宋"/>
          <w:color w:val="auto"/>
          <w:sz w:val="32"/>
          <w:szCs w:val="32"/>
          <w:lang w:eastAsia="zh-CN"/>
        </w:rPr>
        <w:t>整改</w:t>
      </w:r>
      <w:r>
        <w:rPr>
          <w:rFonts w:hint="eastAsia" w:ascii="Times New Roman" w:hAnsi="Times New Roman" w:eastAsia="仿宋" w:cs="仿宋"/>
          <w:color w:val="auto"/>
          <w:sz w:val="32"/>
          <w:szCs w:val="32"/>
        </w:rPr>
        <w:t>，坚决向污染宣战。加快解决人民群众反映强烈和高度关注的突出环境问题。</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 w:cs="仿宋"/>
          <w:color w:val="auto"/>
          <w:sz w:val="32"/>
          <w:szCs w:val="32"/>
        </w:rPr>
      </w:pPr>
      <w:r>
        <w:rPr>
          <w:rFonts w:hint="default" w:ascii="Times New Roman" w:hAnsi="Times New Roman" w:eastAsia="仿宋" w:cs="仿宋"/>
          <w:b/>
          <w:bCs/>
          <w:color w:val="auto"/>
          <w:sz w:val="32"/>
          <w:szCs w:val="32"/>
        </w:rPr>
        <w:t>——</w:t>
      </w:r>
      <w:r>
        <w:rPr>
          <w:rFonts w:hint="eastAsia" w:ascii="Times New Roman" w:hAnsi="Times New Roman" w:eastAsia="仿宋" w:cs="仿宋"/>
          <w:b/>
          <w:bCs/>
          <w:color w:val="auto"/>
          <w:sz w:val="32"/>
          <w:szCs w:val="32"/>
        </w:rPr>
        <w:t>坚持科技赋能、完善体系。</w:t>
      </w:r>
      <w:r>
        <w:rPr>
          <w:rFonts w:hint="eastAsia" w:ascii="Times New Roman" w:hAnsi="Times New Roman" w:eastAsia="仿宋" w:cs="仿宋"/>
          <w:color w:val="auto"/>
          <w:sz w:val="32"/>
          <w:szCs w:val="32"/>
        </w:rPr>
        <w:t>加快构建现代环境治理体系，深化改革创新，完善生态环境监管制度体系，推进科技赋能生态环境保护，全面夯实科技支撑体系。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楷体" w:hAnsi="楷体" w:eastAsia="楷体" w:cs="仿宋"/>
          <w:b/>
          <w:color w:val="auto"/>
          <w:sz w:val="32"/>
          <w:szCs w:val="32"/>
        </w:rPr>
      </w:pPr>
      <w:bookmarkStart w:id="12" w:name="_Toc51315589"/>
      <w:bookmarkStart w:id="13" w:name="_Toc29839"/>
      <w:bookmarkStart w:id="14" w:name="_Toc21987"/>
      <w:bookmarkStart w:id="15" w:name="_Toc476334062"/>
      <w:r>
        <w:rPr>
          <w:rFonts w:hint="eastAsia" w:ascii="楷体" w:hAnsi="楷体" w:eastAsia="楷体" w:cs="仿宋"/>
          <w:b/>
          <w:color w:val="auto"/>
          <w:sz w:val="32"/>
          <w:szCs w:val="32"/>
        </w:rPr>
        <w:t>（三）总体目标</w:t>
      </w:r>
      <w:bookmarkEnd w:id="12"/>
      <w:bookmarkEnd w:id="13"/>
      <w:bookmarkEnd w:id="14"/>
      <w:bookmarkEnd w:id="15"/>
    </w:p>
    <w:p>
      <w:pPr>
        <w:pStyle w:val="4"/>
        <w:keepNext w:val="0"/>
        <w:keepLines w:val="0"/>
        <w:pageBreakBefore w:val="0"/>
        <w:widowControl w:val="0"/>
        <w:kinsoku/>
        <w:wordWrap/>
        <w:overflowPunct/>
        <w:topLinePunct w:val="0"/>
        <w:autoSpaceDE/>
        <w:autoSpaceDN/>
        <w:bidi w:val="0"/>
        <w:adjustRightInd/>
        <w:spacing w:after="0" w:line="600" w:lineRule="exact"/>
        <w:ind w:firstLine="640" w:firstLineChars="200"/>
        <w:textAlignment w:val="auto"/>
        <w:rPr>
          <w:rFonts w:ascii="Times New Roman" w:hAnsi="Times New Roman" w:eastAsia="仿宋" w:cs="仿宋"/>
          <w:color w:val="auto"/>
          <w:sz w:val="32"/>
          <w:szCs w:val="32"/>
        </w:rPr>
      </w:pPr>
      <w:r>
        <w:rPr>
          <w:rFonts w:hint="eastAsia" w:ascii="仿宋" w:hAnsi="仿宋" w:eastAsia="仿宋" w:cs="仿宋_GB2312"/>
          <w:color w:val="auto"/>
          <w:sz w:val="32"/>
          <w:szCs w:val="32"/>
        </w:rPr>
        <w:t>全</w:t>
      </w:r>
      <w:r>
        <w:rPr>
          <w:rFonts w:hint="eastAsia" w:ascii="仿宋" w:hAnsi="仿宋" w:eastAsia="仿宋" w:cs="仿宋_GB2312"/>
          <w:color w:val="auto"/>
          <w:sz w:val="32"/>
          <w:szCs w:val="32"/>
          <w:lang w:eastAsia="zh-CN"/>
        </w:rPr>
        <w:t>县</w:t>
      </w:r>
      <w:r>
        <w:rPr>
          <w:rFonts w:hint="eastAsia" w:ascii="仿宋" w:hAnsi="仿宋" w:eastAsia="仿宋" w:cs="仿宋_GB2312"/>
          <w:color w:val="auto"/>
          <w:sz w:val="32"/>
          <w:szCs w:val="32"/>
        </w:rPr>
        <w:t>生态环境质量持续改善，在全面建成小康社会、全面打赢污染防治攻坚战的基础上，开展国土绿化行动，推进荒漠化、石漠化、水土流失综合治理，强化湿地保护和恢复，加强地质灾害防治。完善天然林保护制度。</w:t>
      </w:r>
      <w:r>
        <w:rPr>
          <w:rFonts w:hint="eastAsia" w:ascii="Times New Roman" w:hAnsi="Times New Roman" w:eastAsia="仿宋" w:cs="仿宋"/>
          <w:color w:val="auto"/>
          <w:sz w:val="32"/>
          <w:szCs w:val="32"/>
        </w:rPr>
        <w:t>严格保护耕地，扩大轮作休耕试</w:t>
      </w:r>
      <w:r>
        <w:rPr>
          <w:rFonts w:hint="eastAsia" w:ascii="Times New Roman" w:hAnsi="Times New Roman" w:eastAsia="仿宋" w:cs="仿宋"/>
          <w:color w:val="auto"/>
          <w:kern w:val="2"/>
          <w:sz w:val="32"/>
          <w:szCs w:val="32"/>
          <w:lang w:val="en-US" w:eastAsia="zh-CN" w:bidi="ar-SA"/>
        </w:rPr>
        <w:t>点，健全耕地草原森林河流湖泊休养生息制度，建立市场化、多元化生态补偿机制。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城市地表水水环境质量得到进一步改善，污染严重水体得到有效治理，饮用水安全得到有效保障；城市大气环境质量持续改善，重点行业和重点区域大气污染治理成效明显；土壤环境质量得到改善，土壤环境风险得到管控；生态系统稳定性明显增强，农村环境质量明显改善；环境风险得到有效管控；环境管理体系、环境监管机制和行政执法体制等生态环保制度法规体系进一步完善，生态环境治理体系</w:t>
      </w:r>
      <w:r>
        <w:rPr>
          <w:rFonts w:hint="eastAsia" w:ascii="Times New Roman" w:hAnsi="Times New Roman" w:eastAsia="仿宋" w:cs="仿宋"/>
          <w:color w:val="auto"/>
          <w:sz w:val="32"/>
          <w:szCs w:val="32"/>
          <w:lang w:eastAsia="zh-CN"/>
        </w:rPr>
        <w:t>和</w:t>
      </w:r>
      <w:r>
        <w:rPr>
          <w:rFonts w:hint="eastAsia" w:ascii="Times New Roman" w:hAnsi="Times New Roman" w:eastAsia="仿宋" w:cs="仿宋"/>
          <w:color w:val="auto"/>
          <w:sz w:val="32"/>
          <w:szCs w:val="32"/>
        </w:rPr>
        <w:t>治理能力现代化取得进展，在“十四五”结束时实现生态环境质量大幅改善，筑牢“美丽鸡</w:t>
      </w:r>
      <w:r>
        <w:rPr>
          <w:rFonts w:hint="eastAsia" w:ascii="Times New Roman" w:hAnsi="Times New Roman" w:eastAsia="仿宋" w:cs="仿宋"/>
          <w:color w:val="auto"/>
          <w:sz w:val="32"/>
          <w:szCs w:val="32"/>
          <w:lang w:eastAsia="zh-CN"/>
        </w:rPr>
        <w:t>东</w:t>
      </w:r>
      <w:r>
        <w:rPr>
          <w:rFonts w:hint="eastAsia" w:ascii="Times New Roman" w:hAnsi="Times New Roman" w:eastAsia="仿宋" w:cs="仿宋"/>
          <w:color w:val="auto"/>
          <w:sz w:val="32"/>
          <w:szCs w:val="32"/>
        </w:rPr>
        <w:t>”的环境基础，使生态文明建设水平逐步适应美丽中国的目标。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展望2035年，广泛形成绿色生产生活方式，碳排放达峰后稳中有降，生态环境根本好转，美丽鸡</w:t>
      </w:r>
      <w:r>
        <w:rPr>
          <w:rFonts w:hint="eastAsia" w:ascii="Times New Roman" w:hAnsi="Times New Roman" w:eastAsia="仿宋" w:cs="仿宋"/>
          <w:color w:val="auto"/>
          <w:sz w:val="32"/>
          <w:szCs w:val="32"/>
          <w:lang w:eastAsia="zh-CN"/>
        </w:rPr>
        <w:t>东</w:t>
      </w:r>
      <w:r>
        <w:rPr>
          <w:rFonts w:hint="eastAsia" w:ascii="Times New Roman" w:hAnsi="Times New Roman" w:eastAsia="仿宋" w:cs="仿宋"/>
          <w:color w:val="auto"/>
          <w:sz w:val="32"/>
          <w:szCs w:val="32"/>
        </w:rPr>
        <w:t>建设目标基本实现。节约资源和保护环境的空间格局、产业结构、生产方式、生活方式总体形成，绿色低碳发展和应对气候变化能力显著增强，空气质量根本改善，水环境质量全面提升，水生态恢复取得明显成效，土壤环境风险得到全面管控，“山水林田湖草沙冰”生命共同体生态系统服务功能总体恢复，蓝天白云、绿水青山成为常态，基本满足人民对优美生态环境的需要。生态环境保护管理制度健全高效，生态环境治理体系和治理能力现代化基本实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仿宋"/>
          <w:color w:val="auto"/>
          <w:sz w:val="32"/>
          <w:szCs w:val="32"/>
        </w:rPr>
      </w:pPr>
      <w:bookmarkStart w:id="16" w:name="_Toc51315591"/>
      <w:r>
        <w:rPr>
          <w:rFonts w:hint="eastAsia" w:ascii="黑体" w:hAnsi="黑体" w:eastAsia="黑体" w:cs="仿宋"/>
          <w:color w:val="auto"/>
          <w:sz w:val="32"/>
          <w:szCs w:val="32"/>
        </w:rPr>
        <w:t>三、主要任务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深入实施减污降碳、精准治污、亮剑护绿、科技赋能“四大行动”，聚焦生态环境保护的短板弱项，大力实施绿色低碳发展战略，深入打好蓝天、碧水、净土保卫战，坚持山水林田湖草沙冰一体化保护和系统治理，加强环境风险防范，推进生态环境治理体系</w:t>
      </w:r>
      <w:r>
        <w:rPr>
          <w:rFonts w:hint="eastAsia" w:ascii="Times New Roman" w:hAnsi="Times New Roman" w:eastAsia="仿宋" w:cs="仿宋"/>
          <w:color w:val="auto"/>
          <w:sz w:val="32"/>
          <w:szCs w:val="32"/>
          <w:lang w:eastAsia="zh-CN"/>
        </w:rPr>
        <w:t>和</w:t>
      </w:r>
      <w:r>
        <w:rPr>
          <w:rFonts w:hint="eastAsia" w:ascii="Times New Roman" w:hAnsi="Times New Roman" w:eastAsia="仿宋" w:cs="仿宋"/>
          <w:color w:val="auto"/>
          <w:sz w:val="32"/>
          <w:szCs w:val="32"/>
        </w:rPr>
        <w:t>治理能力现代化。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 w:hAnsi="楷体" w:eastAsia="楷体" w:cs="仿宋"/>
          <w:b/>
          <w:color w:val="auto"/>
          <w:sz w:val="32"/>
          <w:szCs w:val="32"/>
        </w:rPr>
      </w:pPr>
      <w:r>
        <w:rPr>
          <w:rFonts w:hint="eastAsia" w:ascii="楷体" w:hAnsi="楷体" w:eastAsia="楷体" w:cs="仿宋"/>
          <w:b/>
          <w:color w:val="auto"/>
          <w:sz w:val="32"/>
          <w:szCs w:val="32"/>
        </w:rPr>
        <w:t>　 （一）贯彻新发展理念，推进高质量发展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 w:cs="仿宋"/>
          <w:b/>
          <w:color w:val="auto"/>
          <w:sz w:val="32"/>
          <w:szCs w:val="32"/>
        </w:rPr>
      </w:pPr>
      <w:r>
        <w:rPr>
          <w:rFonts w:hint="eastAsia" w:ascii="Times New Roman" w:hAnsi="Times New Roman" w:eastAsia="仿宋" w:cs="仿宋"/>
          <w:b/>
          <w:color w:val="auto"/>
          <w:sz w:val="32"/>
          <w:szCs w:val="32"/>
        </w:rPr>
        <w:t>1</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统筹推进区域绿色发展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　　</w:t>
      </w:r>
      <w:r>
        <w:rPr>
          <w:rFonts w:hint="eastAsia" w:ascii="Times New Roman" w:hAnsi="Times New Roman" w:eastAsia="仿宋" w:cs="仿宋"/>
          <w:b/>
          <w:bCs/>
          <w:color w:val="auto"/>
          <w:sz w:val="32"/>
          <w:szCs w:val="32"/>
        </w:rPr>
        <w:t>构建国土空间开发保护新格局。</w:t>
      </w:r>
      <w:r>
        <w:rPr>
          <w:rFonts w:hint="eastAsia" w:ascii="Times New Roman" w:hAnsi="Times New Roman" w:eastAsia="仿宋" w:cs="仿宋"/>
          <w:color w:val="auto"/>
          <w:sz w:val="32"/>
          <w:szCs w:val="32"/>
        </w:rPr>
        <w:t>围绕城市化地区、农产品主产区、生态功能区，立足资源环境承载能力，优化重大基础设施、重大生产力和公共资源布局，优化生产、生活、生态空间，推动形成主体功能明显、优势互补、高质量发展的国土空间保护开发新格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　　</w:t>
      </w:r>
      <w:r>
        <w:rPr>
          <w:rFonts w:hint="eastAsia" w:ascii="Times New Roman" w:hAnsi="Times New Roman" w:eastAsia="仿宋" w:cs="仿宋"/>
          <w:b/>
          <w:bCs/>
          <w:color w:val="auto"/>
          <w:sz w:val="32"/>
          <w:szCs w:val="32"/>
        </w:rPr>
        <w:t>加强生态环境分区管控。</w:t>
      </w:r>
      <w:r>
        <w:rPr>
          <w:rFonts w:hint="eastAsia" w:ascii="Times New Roman" w:hAnsi="Times New Roman" w:eastAsia="仿宋" w:cs="仿宋"/>
          <w:color w:val="auto"/>
          <w:sz w:val="32"/>
          <w:szCs w:val="32"/>
        </w:rPr>
        <w:t>统筹衔接国土空间规划、生态保护红线、自然保护地分区和用途管制要求，动态更新“三线一单”成果，完善生态环境分区管控体系。建立并不断完善以政府为主体、部门深度参与的落地应用机制，加强“三线一单”成果在政策制定、环境准入、园区管理、执法监管及各类开放建设活动等方面的应用。</w:t>
      </w:r>
    </w:p>
    <w:p>
      <w:pPr>
        <w:spacing w:line="600" w:lineRule="exact"/>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　　</w:t>
      </w:r>
      <w:r>
        <w:rPr>
          <w:rFonts w:hint="eastAsia" w:ascii="Times New Roman" w:hAnsi="Times New Roman" w:eastAsia="仿宋" w:cs="仿宋"/>
          <w:b/>
          <w:color w:val="auto"/>
          <w:sz w:val="32"/>
          <w:szCs w:val="32"/>
        </w:rPr>
        <w:t>2</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推进产业结构转型升级</w:t>
      </w:r>
    </w:p>
    <w:p>
      <w:pPr>
        <w:keepNext w:val="0"/>
        <w:keepLines w:val="0"/>
        <w:pageBreakBefore w:val="0"/>
        <w:widowControl w:val="0"/>
        <w:kinsoku/>
        <w:wordWrap/>
        <w:overflowPunct/>
        <w:topLinePunct w:val="0"/>
        <w:autoSpaceDE/>
        <w:autoSpaceDN/>
        <w:bidi w:val="0"/>
        <w:adjustRightInd/>
        <w:snapToGrid/>
        <w:spacing w:line="600" w:lineRule="exact"/>
        <w:ind w:firstLine="644"/>
        <w:textAlignment w:val="auto"/>
        <w:rPr>
          <w:rFonts w:hint="default" w:ascii="仿宋" w:hAnsi="仿宋" w:eastAsia="仿宋" w:cs="仿宋"/>
          <w:color w:val="auto"/>
          <w:sz w:val="32"/>
          <w:szCs w:val="32"/>
        </w:rPr>
      </w:pPr>
      <w:r>
        <w:rPr>
          <w:rFonts w:hint="eastAsia" w:ascii="仿宋" w:hAnsi="仿宋" w:eastAsia="仿宋" w:cs="仿宋"/>
          <w:b/>
          <w:bCs/>
          <w:color w:val="auto"/>
          <w:sz w:val="32"/>
          <w:szCs w:val="32"/>
        </w:rPr>
        <w:t>加强重点行业绿色转型。</w:t>
      </w:r>
      <w:r>
        <w:rPr>
          <w:rFonts w:hint="eastAsia" w:ascii="仿宋" w:hAnsi="仿宋" w:eastAsia="仿宋" w:cs="仿宋"/>
          <w:color w:val="auto"/>
          <w:sz w:val="32"/>
          <w:szCs w:val="32"/>
        </w:rPr>
        <w:t>落实“一企一策”，</w:t>
      </w:r>
      <w:r>
        <w:rPr>
          <w:rFonts w:hint="eastAsia" w:ascii="仿宋" w:hAnsi="仿宋" w:eastAsia="仿宋" w:cstheme="minorEastAsia"/>
          <w:color w:val="auto"/>
          <w:sz w:val="32"/>
          <w:szCs w:val="32"/>
        </w:rPr>
        <w:t>从源头上推动产业结构调整，</w:t>
      </w:r>
      <w:r>
        <w:rPr>
          <w:rFonts w:hint="eastAsia" w:ascii="仿宋" w:hAnsi="仿宋" w:eastAsia="仿宋" w:cs="仿宋"/>
          <w:color w:val="auto"/>
          <w:sz w:val="32"/>
          <w:szCs w:val="32"/>
        </w:rPr>
        <w:t>加快淘汰落后和化解过剩产能，</w:t>
      </w:r>
      <w:r>
        <w:rPr>
          <w:rFonts w:hint="eastAsia" w:ascii="仿宋" w:hAnsi="仿宋" w:eastAsia="仿宋" w:cstheme="majorEastAsia"/>
          <w:color w:val="auto"/>
          <w:sz w:val="32"/>
          <w:szCs w:val="32"/>
        </w:rPr>
        <w:t>严控水泥行业新增产能，</w:t>
      </w:r>
      <w:r>
        <w:rPr>
          <w:rFonts w:hint="eastAsia" w:ascii="仿宋" w:hAnsi="仿宋" w:eastAsia="仿宋" w:cs="仿宋"/>
          <w:color w:val="auto"/>
          <w:sz w:val="32"/>
          <w:szCs w:val="32"/>
        </w:rPr>
        <w:t>对高耗能高排放项目严格落实产能等量或减量置换，</w:t>
      </w:r>
      <w:r>
        <w:rPr>
          <w:rFonts w:hint="eastAsia" w:ascii="仿宋" w:hAnsi="仿宋" w:eastAsia="仿宋" w:cstheme="minorEastAsia"/>
          <w:color w:val="auto"/>
          <w:sz w:val="32"/>
          <w:szCs w:val="32"/>
        </w:rPr>
        <w:t>促进经济绿色循环发展；</w:t>
      </w:r>
      <w:r>
        <w:rPr>
          <w:rFonts w:hint="eastAsia" w:ascii="仿宋" w:hAnsi="仿宋" w:eastAsia="仿宋" w:cs="仿宋"/>
          <w:color w:val="auto"/>
          <w:sz w:val="32"/>
          <w:szCs w:val="32"/>
        </w:rPr>
        <w:t>以煤炭、石墨、有色金属、化工、建材等行业为重点，</w:t>
      </w:r>
      <w:r>
        <w:rPr>
          <w:rFonts w:hint="eastAsia" w:ascii="仿宋" w:hAnsi="仿宋" w:eastAsia="仿宋" w:cstheme="majorEastAsia"/>
          <w:color w:val="auto"/>
          <w:sz w:val="32"/>
          <w:szCs w:val="32"/>
        </w:rPr>
        <w:t>推进传统行业节能技术改造，支持企业开展能效提升、清洁生产、工业节水等绿色化升级改造</w:t>
      </w:r>
      <w:r>
        <w:rPr>
          <w:rFonts w:hint="eastAsia" w:ascii="仿宋" w:hAnsi="仿宋" w:eastAsia="仿宋" w:cs="仿宋"/>
          <w:color w:val="auto"/>
          <w:sz w:val="32"/>
          <w:szCs w:val="32"/>
        </w:rPr>
        <w:t>，</w:t>
      </w:r>
      <w:r>
        <w:rPr>
          <w:rFonts w:hint="eastAsia" w:ascii="仿宋" w:hAnsi="仿宋" w:eastAsia="仿宋" w:cstheme="majorEastAsia"/>
          <w:color w:val="auto"/>
          <w:sz w:val="32"/>
          <w:szCs w:val="32"/>
        </w:rPr>
        <w:t>加快推广通用设备能效提升工程，</w:t>
      </w:r>
      <w:r>
        <w:rPr>
          <w:rFonts w:hint="eastAsia" w:ascii="仿宋" w:hAnsi="仿宋" w:eastAsia="仿宋" w:cs="仿宋"/>
          <w:color w:val="auto"/>
          <w:sz w:val="32"/>
          <w:szCs w:val="32"/>
        </w:rPr>
        <w:t>推动重点行业加快实施限制类产能装备的升级改造，有序开展超低排放改造</w:t>
      </w:r>
      <w:r>
        <w:rPr>
          <w:rFonts w:hint="default"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4"/>
        <w:textAlignment w:val="auto"/>
        <w:rPr>
          <w:rFonts w:ascii="仿宋" w:hAnsi="仿宋" w:eastAsia="仿宋" w:cstheme="minorEastAsia"/>
          <w:color w:val="auto"/>
          <w:sz w:val="32"/>
          <w:szCs w:val="32"/>
        </w:rPr>
      </w:pPr>
      <w:r>
        <w:rPr>
          <w:rFonts w:hint="eastAsia" w:ascii="仿宋" w:hAnsi="仿宋" w:eastAsia="仿宋" w:cstheme="minorEastAsia"/>
          <w:b/>
          <w:bCs/>
          <w:color w:val="auto"/>
          <w:sz w:val="32"/>
          <w:szCs w:val="32"/>
        </w:rPr>
        <w:t>强化工业园区和产业集群升级改造</w:t>
      </w:r>
      <w:r>
        <w:rPr>
          <w:rFonts w:hint="default" w:ascii="仿宋" w:hAnsi="仿宋" w:eastAsia="仿宋" w:cstheme="minorEastAsia"/>
          <w:b/>
          <w:bCs/>
          <w:color w:val="auto"/>
          <w:sz w:val="32"/>
          <w:szCs w:val="32"/>
        </w:rPr>
        <w:t>。</w:t>
      </w:r>
      <w:r>
        <w:rPr>
          <w:rFonts w:hint="eastAsia" w:ascii="仿宋" w:hAnsi="仿宋" w:eastAsia="仿宋" w:cstheme="minorEastAsia"/>
          <w:color w:val="auto"/>
          <w:sz w:val="32"/>
          <w:szCs w:val="32"/>
        </w:rPr>
        <w:t>落实“一园一策”“一行一策”，</w:t>
      </w:r>
      <w:r>
        <w:rPr>
          <w:rFonts w:hint="eastAsia" w:ascii="仿宋" w:hAnsi="仿宋" w:eastAsia="仿宋" w:cstheme="majorEastAsia"/>
          <w:color w:val="auto"/>
          <w:sz w:val="32"/>
          <w:szCs w:val="32"/>
        </w:rPr>
        <w:t xml:space="preserve"> 实施重点行业和企业循环化改造，推动资源循环再生利用，降低能源消耗和污染物排放量</w:t>
      </w:r>
      <w:r>
        <w:rPr>
          <w:rFonts w:hint="eastAsia" w:ascii="仿宋" w:hAnsi="仿宋" w:eastAsia="仿宋" w:cstheme="minorEastAsia"/>
          <w:color w:val="auto"/>
          <w:sz w:val="32"/>
          <w:szCs w:val="32"/>
        </w:rPr>
        <w:t>，</w:t>
      </w:r>
      <w:r>
        <w:rPr>
          <w:rFonts w:hint="eastAsia" w:ascii="仿宋" w:hAnsi="仿宋" w:eastAsia="仿宋" w:cs="仿宋"/>
          <w:color w:val="auto"/>
          <w:sz w:val="32"/>
          <w:szCs w:val="32"/>
        </w:rPr>
        <w:t>加快建立绿色供应链，培育一批具有产业生态主导力的企业，带动全产业链优化升级，</w:t>
      </w:r>
      <w:r>
        <w:rPr>
          <w:rFonts w:hint="eastAsia" w:ascii="仿宋" w:hAnsi="仿宋" w:eastAsia="仿宋" w:cstheme="minorEastAsia"/>
          <w:color w:val="auto"/>
          <w:sz w:val="32"/>
          <w:szCs w:val="32"/>
        </w:rPr>
        <w:t>全面提升工业园区和企业集群发展质量和环保治理水平，</w:t>
      </w:r>
      <w:r>
        <w:rPr>
          <w:rFonts w:hint="eastAsia" w:ascii="仿宋" w:hAnsi="仿宋" w:eastAsia="仿宋" w:cs="仿宋"/>
          <w:color w:val="auto"/>
          <w:sz w:val="32"/>
          <w:szCs w:val="32"/>
        </w:rPr>
        <w:t>推动工业绿色转型升级。</w:t>
      </w:r>
      <w:r>
        <w:rPr>
          <w:rFonts w:hint="eastAsia" w:ascii="仿宋" w:hAnsi="仿宋" w:eastAsia="仿宋" w:cstheme="majorEastAsia"/>
          <w:color w:val="auto"/>
          <w:sz w:val="32"/>
          <w:szCs w:val="32"/>
        </w:rPr>
        <w:t>鼓励相关行业企业、工业园区对照评价要求，标准创建绿色工厂、绿色工业园区。</w:t>
      </w:r>
      <w:r>
        <w:rPr>
          <w:rFonts w:hint="eastAsia" w:ascii="仿宋" w:hAnsi="仿宋" w:eastAsia="仿宋" w:cs="仿宋"/>
          <w:color w:val="auto"/>
          <w:sz w:val="32"/>
          <w:szCs w:val="32"/>
        </w:rPr>
        <w:t>“十四五”期间，全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规模以上工业企业万元工业增加值能耗累计下降20%左右。</w:t>
      </w:r>
    </w:p>
    <w:p>
      <w:pPr>
        <w:spacing w:line="600" w:lineRule="exact"/>
        <w:ind w:firstLine="642" w:firstLineChars="200"/>
        <w:rPr>
          <w:rFonts w:ascii="Times New Roman" w:hAnsi="Times New Roman" w:eastAsia="仿宋" w:cs="仿宋"/>
          <w:color w:val="auto"/>
          <w:sz w:val="32"/>
          <w:szCs w:val="32"/>
        </w:rPr>
      </w:pPr>
      <w:r>
        <w:rPr>
          <w:rFonts w:hint="eastAsia" w:ascii="Times New Roman" w:hAnsi="Times New Roman" w:eastAsia="仿宋" w:cs="仿宋"/>
          <w:b/>
          <w:color w:val="auto"/>
          <w:sz w:val="32"/>
          <w:szCs w:val="32"/>
        </w:rPr>
        <w:t>3</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构建清洁低碳能源体系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heme="minorEastAsia"/>
          <w:color w:val="auto"/>
          <w:sz w:val="32"/>
          <w:szCs w:val="32"/>
        </w:rPr>
      </w:pPr>
      <w:r>
        <w:rPr>
          <w:rFonts w:hint="eastAsia" w:ascii="Times New Roman" w:hAnsi="Times New Roman" w:eastAsia="仿宋" w:cs="仿宋"/>
          <w:color w:val="auto"/>
          <w:sz w:val="32"/>
          <w:szCs w:val="32"/>
        </w:rPr>
        <w:t>　　</w:t>
      </w:r>
      <w:r>
        <w:rPr>
          <w:rFonts w:hint="eastAsia" w:ascii="仿宋" w:hAnsi="仿宋" w:eastAsia="仿宋" w:cstheme="minorEastAsia"/>
          <w:b/>
          <w:bCs/>
          <w:color w:val="auto"/>
          <w:sz w:val="32"/>
          <w:szCs w:val="32"/>
        </w:rPr>
        <w:t>优化能源供给结构。</w:t>
      </w:r>
      <w:r>
        <w:rPr>
          <w:rFonts w:hint="eastAsia" w:ascii="仿宋" w:hAnsi="仿宋" w:eastAsia="仿宋" w:cstheme="minorEastAsia"/>
          <w:color w:val="auto"/>
          <w:sz w:val="32"/>
          <w:szCs w:val="32"/>
        </w:rPr>
        <w:t>建设清洁低碳、安全高效的能源体系。严格控制煤炭消费总量增速，实施煤炭消费减量替代，推动煤炭等化石能源清洁高效利用。实施能耗总量和强度双控，大幅降低能耗强度。实施可再生能源替代行动，促进非化石能源成为能源消费增量的主体。优化电力生产和输送通道布局，提高能源输配效率。优化风电、光伏发电布局。优先发展新能源产业，探索开展绿色能源利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theme="minorEastAsia"/>
          <w:color w:val="auto"/>
          <w:sz w:val="32"/>
          <w:szCs w:val="32"/>
        </w:rPr>
      </w:pPr>
      <w:r>
        <w:rPr>
          <w:rFonts w:hint="eastAsia" w:ascii="仿宋" w:hAnsi="仿宋" w:eastAsia="仿宋" w:cstheme="minorEastAsia"/>
          <w:b/>
          <w:bCs/>
          <w:color w:val="auto"/>
          <w:sz w:val="32"/>
          <w:szCs w:val="32"/>
        </w:rPr>
        <w:t>提升行业资源能源利用效率。</w:t>
      </w:r>
      <w:r>
        <w:rPr>
          <w:rFonts w:hint="eastAsia" w:ascii="仿宋" w:hAnsi="仿宋" w:eastAsia="仿宋" w:cstheme="minorEastAsia"/>
          <w:color w:val="auto"/>
          <w:sz w:val="32"/>
          <w:szCs w:val="32"/>
        </w:rPr>
        <w:t>加强重点领域和重点用能单位节能管理，实施能量系统优化、节能技术改造等重点工程。制定地方清洁生产审核实施方案，依法推进清洁生产，在重点行业深入推进强制性清洁生产审核。</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theme="minorEastAsia"/>
          <w:color w:val="auto"/>
          <w:sz w:val="32"/>
          <w:szCs w:val="32"/>
        </w:rPr>
      </w:pPr>
      <w:r>
        <w:rPr>
          <w:rFonts w:hint="eastAsia" w:ascii="仿宋" w:hAnsi="仿宋" w:eastAsia="仿宋" w:cstheme="minorEastAsia"/>
          <w:b/>
          <w:bCs/>
          <w:color w:val="auto"/>
          <w:sz w:val="32"/>
          <w:szCs w:val="32"/>
        </w:rPr>
        <w:t>实施终端用能清洁化替代。</w:t>
      </w:r>
      <w:r>
        <w:rPr>
          <w:rFonts w:hint="eastAsia" w:ascii="仿宋" w:hAnsi="仿宋" w:eastAsia="仿宋" w:cstheme="minorEastAsia"/>
          <w:color w:val="auto"/>
          <w:sz w:val="32"/>
          <w:szCs w:val="32"/>
        </w:rPr>
        <w:t>重点削减小型燃煤锅炉、民用散煤与农业用煤消费量，降低煤炭在终端分散利用比例，对以煤、石焦油、渣油、重油等为燃料的锅炉和工业炉窑，加快使用清洁低碳能源以及工厂余热、电力热力等进行替代。加快推进煤城新能源项目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 w:cs="仿宋"/>
          <w:b/>
          <w:color w:val="auto"/>
          <w:sz w:val="32"/>
          <w:szCs w:val="32"/>
        </w:rPr>
      </w:pPr>
      <w:r>
        <w:rPr>
          <w:rFonts w:hint="eastAsia" w:ascii="Times New Roman" w:hAnsi="Times New Roman" w:eastAsia="仿宋" w:cs="仿宋"/>
          <w:color w:val="auto"/>
          <w:sz w:val="32"/>
          <w:szCs w:val="32"/>
        </w:rPr>
        <w:t>　　</w:t>
      </w:r>
      <w:r>
        <w:rPr>
          <w:rFonts w:hint="eastAsia" w:ascii="Times New Roman" w:hAnsi="Times New Roman" w:eastAsia="仿宋" w:cs="仿宋"/>
          <w:b/>
          <w:color w:val="auto"/>
          <w:sz w:val="32"/>
          <w:szCs w:val="32"/>
        </w:rPr>
        <w:t>4</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建设绿色交通运输体系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theme="minorEastAsia"/>
          <w:color w:val="auto"/>
          <w:sz w:val="32"/>
          <w:szCs w:val="32"/>
        </w:rPr>
      </w:pPr>
      <w:r>
        <w:rPr>
          <w:rFonts w:hint="default" w:ascii="仿宋" w:hAnsi="仿宋" w:eastAsia="仿宋" w:cstheme="minorEastAsia"/>
          <w:b/>
          <w:bCs/>
          <w:color w:val="auto"/>
          <w:sz w:val="32"/>
          <w:szCs w:val="32"/>
        </w:rPr>
        <w:t>加快推进运输结构调整。</w:t>
      </w:r>
      <w:r>
        <w:rPr>
          <w:rFonts w:hint="eastAsia" w:ascii="仿宋" w:hAnsi="仿宋" w:eastAsia="仿宋" w:cstheme="minorEastAsia"/>
          <w:color w:val="auto"/>
          <w:sz w:val="32"/>
          <w:szCs w:val="32"/>
        </w:rPr>
        <w:t>重点加强货物运输结构调整力度，有效降低公路货运比例。针对煤炭、焦炭、水泥等大宗物料以及重点地区农产品、汽车产品等运输，系统梳理当前运输结构和方式，深挖结构调整潜力，提出货物运输“公转铁”重大工程。</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theme="minorEastAsia"/>
          <w:color w:val="auto"/>
          <w:sz w:val="32"/>
          <w:szCs w:val="32"/>
        </w:rPr>
      </w:pPr>
      <w:r>
        <w:rPr>
          <w:rFonts w:hint="eastAsia" w:ascii="仿宋" w:hAnsi="仿宋" w:eastAsia="仿宋" w:cstheme="minorEastAsia"/>
          <w:b/>
          <w:bCs/>
          <w:color w:val="auto"/>
          <w:sz w:val="32"/>
          <w:szCs w:val="32"/>
        </w:rPr>
        <w:t>推进构建“车—油—路”一体的绿色交通体系。</w:t>
      </w:r>
      <w:r>
        <w:rPr>
          <w:rFonts w:hint="eastAsia" w:ascii="仿宋" w:hAnsi="仿宋" w:eastAsia="仿宋" w:cstheme="minorEastAsia"/>
          <w:color w:val="auto"/>
          <w:sz w:val="32"/>
          <w:szCs w:val="32"/>
        </w:rPr>
        <w:t>优先发展城市公交，研究制定乘用车碳排放标准，加强新能源汽车在全</w:t>
      </w:r>
      <w:r>
        <w:rPr>
          <w:rFonts w:hint="eastAsia" w:ascii="仿宋" w:hAnsi="仿宋" w:eastAsia="仿宋" w:cstheme="minorEastAsia"/>
          <w:color w:val="auto"/>
          <w:sz w:val="32"/>
          <w:szCs w:val="32"/>
          <w:lang w:eastAsia="zh-CN"/>
        </w:rPr>
        <w:t>县</w:t>
      </w:r>
      <w:r>
        <w:rPr>
          <w:rFonts w:hint="eastAsia" w:ascii="仿宋" w:hAnsi="仿宋" w:eastAsia="仿宋" w:cstheme="minorEastAsia"/>
          <w:color w:val="auto"/>
          <w:sz w:val="32"/>
          <w:szCs w:val="32"/>
        </w:rPr>
        <w:t>推广力度，完善“天地车人”一体化机动车排放监控系统。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theme="minorEastAsia"/>
          <w:color w:val="auto"/>
          <w:sz w:val="32"/>
          <w:szCs w:val="32"/>
        </w:rPr>
      </w:pPr>
      <w:r>
        <w:rPr>
          <w:rFonts w:hint="default" w:ascii="仿宋" w:hAnsi="仿宋" w:eastAsia="仿宋" w:cstheme="minorEastAsia"/>
          <w:b/>
          <w:bCs/>
          <w:color w:val="auto"/>
          <w:sz w:val="32"/>
          <w:szCs w:val="32"/>
        </w:rPr>
        <w:t>加快</w:t>
      </w:r>
      <w:r>
        <w:rPr>
          <w:rFonts w:hint="eastAsia" w:ascii="仿宋" w:hAnsi="仿宋" w:eastAsia="仿宋" w:cstheme="minorEastAsia"/>
          <w:b/>
          <w:bCs/>
          <w:color w:val="auto"/>
          <w:sz w:val="32"/>
          <w:szCs w:val="32"/>
        </w:rPr>
        <w:t>新能源和清洁能源汽车</w:t>
      </w:r>
      <w:r>
        <w:rPr>
          <w:rFonts w:hint="default" w:ascii="仿宋" w:hAnsi="仿宋" w:eastAsia="仿宋" w:cstheme="minorEastAsia"/>
          <w:b/>
          <w:bCs/>
          <w:color w:val="auto"/>
          <w:sz w:val="32"/>
          <w:szCs w:val="32"/>
        </w:rPr>
        <w:t>推广</w:t>
      </w:r>
      <w:r>
        <w:rPr>
          <w:rFonts w:hint="eastAsia" w:ascii="仿宋" w:hAnsi="仿宋" w:eastAsia="仿宋" w:cstheme="minorEastAsia"/>
          <w:b/>
          <w:bCs/>
          <w:color w:val="auto"/>
          <w:sz w:val="32"/>
          <w:szCs w:val="32"/>
        </w:rPr>
        <w:t>使用</w:t>
      </w:r>
      <w:r>
        <w:rPr>
          <w:rFonts w:hint="default" w:ascii="仿宋" w:hAnsi="仿宋" w:eastAsia="仿宋" w:cstheme="minorEastAsia"/>
          <w:b/>
          <w:bCs/>
          <w:color w:val="auto"/>
          <w:sz w:val="32"/>
          <w:szCs w:val="32"/>
        </w:rPr>
        <w:t>。</w:t>
      </w:r>
      <w:r>
        <w:rPr>
          <w:rFonts w:hint="eastAsia" w:ascii="仿宋" w:hAnsi="仿宋" w:eastAsia="仿宋" w:cstheme="minorEastAsia"/>
          <w:color w:val="auto"/>
          <w:sz w:val="32"/>
          <w:szCs w:val="32"/>
        </w:rPr>
        <w:t>进一步推进城市公共交通、公务用车电动化进程，到2025年，新能源汽车新车销量占比力争达20%左右。</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 w:cs="仿宋"/>
          <w:b/>
          <w:color w:val="auto"/>
          <w:sz w:val="32"/>
          <w:szCs w:val="32"/>
        </w:rPr>
      </w:pPr>
      <w:r>
        <w:rPr>
          <w:rFonts w:hint="eastAsia" w:ascii="Times New Roman" w:hAnsi="Times New Roman" w:eastAsia="仿宋" w:cs="仿宋"/>
          <w:b/>
          <w:color w:val="auto"/>
          <w:sz w:val="32"/>
          <w:szCs w:val="32"/>
        </w:rPr>
        <w:t>5.大力推进生态环境科技赋能</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theme="minorEastAsia"/>
          <w:color w:val="auto"/>
          <w:sz w:val="32"/>
          <w:szCs w:val="32"/>
        </w:rPr>
      </w:pPr>
      <w:r>
        <w:rPr>
          <w:rFonts w:hint="eastAsia" w:ascii="仿宋" w:hAnsi="仿宋" w:eastAsia="仿宋" w:cstheme="minorEastAsia"/>
          <w:b/>
          <w:bCs/>
          <w:color w:val="auto"/>
          <w:sz w:val="32"/>
          <w:szCs w:val="32"/>
        </w:rPr>
        <w:t>全面提升生态环境科技创新能力。</w:t>
      </w:r>
      <w:r>
        <w:rPr>
          <w:rFonts w:hint="eastAsia" w:ascii="仿宋" w:hAnsi="仿宋" w:eastAsia="仿宋" w:cstheme="minorEastAsia"/>
          <w:color w:val="auto"/>
          <w:sz w:val="32"/>
          <w:szCs w:val="32"/>
        </w:rPr>
        <w:t>构建绿色技术创新体系，推进生态环保智库建设，与高校、科研院所建立科技赋能生态环境保护合作机制，开展全面交流合作。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theme="minorEastAsia"/>
          <w:color w:val="auto"/>
          <w:sz w:val="32"/>
          <w:szCs w:val="32"/>
        </w:rPr>
      </w:pPr>
      <w:r>
        <w:rPr>
          <w:rFonts w:hint="eastAsia" w:ascii="仿宋" w:hAnsi="仿宋" w:eastAsia="仿宋" w:cstheme="minorEastAsia"/>
          <w:b/>
          <w:bCs/>
          <w:color w:val="auto"/>
          <w:sz w:val="32"/>
          <w:szCs w:val="32"/>
        </w:rPr>
        <w:t>实施生态环境科技创新行动。</w:t>
      </w:r>
      <w:r>
        <w:rPr>
          <w:rFonts w:hint="eastAsia" w:ascii="仿宋" w:hAnsi="仿宋" w:eastAsia="仿宋" w:cstheme="minorEastAsia"/>
          <w:color w:val="auto"/>
          <w:sz w:val="32"/>
          <w:szCs w:val="32"/>
        </w:rPr>
        <w:t>推动生态环境领域科技创新与技术研究，构建科技支撑服务体系。强化基础性研究，夯实环境科研基础，围绕支撑污染防治攻坚战，持续开展水、大气、土壤</w:t>
      </w:r>
      <w:r>
        <w:rPr>
          <w:rFonts w:hint="eastAsia" w:ascii="仿宋" w:hAnsi="仿宋" w:eastAsia="仿宋" w:cstheme="minorEastAsia"/>
          <w:color w:val="auto"/>
          <w:sz w:val="32"/>
          <w:szCs w:val="32"/>
          <w:lang w:eastAsia="zh-CN"/>
        </w:rPr>
        <w:t>、</w:t>
      </w:r>
      <w:r>
        <w:rPr>
          <w:rFonts w:hint="eastAsia" w:ascii="仿宋" w:hAnsi="仿宋" w:eastAsia="仿宋" w:cstheme="minorEastAsia"/>
          <w:color w:val="auto"/>
          <w:sz w:val="32"/>
          <w:szCs w:val="32"/>
        </w:rPr>
        <w:t>农村环境污染治理短板等领域基础科研工作，推进生态环境科技成果转化应用，促进科学研究与实际需求深度融合。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theme="minorEastAsia"/>
          <w:color w:val="auto"/>
          <w:sz w:val="32"/>
          <w:szCs w:val="32"/>
        </w:rPr>
      </w:pPr>
      <w:r>
        <w:rPr>
          <w:rFonts w:hint="eastAsia" w:ascii="仿宋" w:hAnsi="仿宋" w:eastAsia="仿宋" w:cstheme="minorEastAsia"/>
          <w:b/>
          <w:bCs/>
          <w:color w:val="auto"/>
          <w:sz w:val="32"/>
          <w:szCs w:val="32"/>
        </w:rPr>
        <w:t>加速发展绿色环保战略性新兴产业。</w:t>
      </w:r>
      <w:r>
        <w:rPr>
          <w:rFonts w:hint="eastAsia" w:ascii="仿宋" w:hAnsi="仿宋" w:eastAsia="仿宋" w:cstheme="minorEastAsia"/>
          <w:color w:val="auto"/>
          <w:sz w:val="32"/>
          <w:szCs w:val="32"/>
        </w:rPr>
        <w:t>推动绿色环保新兴产业融合化、集群化、生态化发展，严格落实相关政策，推动石墨烯产业绿色健康发展。推动再生资源清洁化回收、规模化利用和产业化发展。推动生态环保产业与</w:t>
      </w:r>
      <w:r>
        <w:rPr>
          <w:rFonts w:hint="eastAsia" w:ascii="仿宋" w:hAnsi="仿宋" w:eastAsia="仿宋" w:cstheme="minorEastAsia"/>
          <w:color w:val="auto"/>
          <w:sz w:val="32"/>
          <w:szCs w:val="32"/>
          <w:lang w:eastAsia="zh-CN"/>
        </w:rPr>
        <w:t>新一代</w:t>
      </w:r>
      <w:r>
        <w:rPr>
          <w:rFonts w:hint="eastAsia" w:ascii="仿宋" w:hAnsi="仿宋" w:eastAsia="仿宋" w:cstheme="minorEastAsia"/>
          <w:color w:val="auto"/>
          <w:sz w:val="32"/>
          <w:szCs w:val="32"/>
        </w:rPr>
        <w:t>信息技术融合，提高环保产业数字化水平。</w:t>
      </w:r>
    </w:p>
    <w:p>
      <w:pPr>
        <w:spacing w:line="600" w:lineRule="exact"/>
        <w:ind w:firstLine="642" w:firstLineChars="200"/>
        <w:rPr>
          <w:rFonts w:ascii="楷体" w:hAnsi="楷体" w:eastAsia="楷体" w:cs="仿宋"/>
          <w:b/>
          <w:color w:val="auto"/>
          <w:sz w:val="32"/>
          <w:szCs w:val="32"/>
        </w:rPr>
      </w:pPr>
      <w:r>
        <w:rPr>
          <w:rFonts w:hint="eastAsia" w:ascii="楷体" w:hAnsi="楷体" w:eastAsia="楷体" w:cs="仿宋"/>
          <w:b/>
          <w:color w:val="auto"/>
          <w:sz w:val="32"/>
          <w:szCs w:val="32"/>
        </w:rPr>
        <w:t>（二）聚焦碳达峰目标，控制温室气体排放</w:t>
      </w:r>
    </w:p>
    <w:p>
      <w:pPr>
        <w:spacing w:line="600" w:lineRule="exact"/>
        <w:rPr>
          <w:rFonts w:ascii="Times New Roman" w:hAnsi="Times New Roman" w:eastAsia="仿宋" w:cs="仿宋"/>
          <w:b/>
          <w:color w:val="auto"/>
          <w:sz w:val="32"/>
          <w:szCs w:val="32"/>
        </w:rPr>
      </w:pPr>
      <w:r>
        <w:rPr>
          <w:rFonts w:hint="eastAsia" w:ascii="Times New Roman" w:hAnsi="Times New Roman" w:eastAsia="仿宋" w:cs="仿宋"/>
          <w:color w:val="auto"/>
          <w:sz w:val="32"/>
          <w:szCs w:val="32"/>
        </w:rPr>
        <w:t xml:space="preserve">　  </w:t>
      </w:r>
      <w:r>
        <w:rPr>
          <w:rFonts w:hint="eastAsia" w:ascii="Times New Roman" w:hAnsi="Times New Roman" w:eastAsia="仿宋" w:cs="仿宋"/>
          <w:b/>
          <w:color w:val="auto"/>
          <w:sz w:val="32"/>
          <w:szCs w:val="32"/>
        </w:rPr>
        <w:t>1</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开展二氧化碳达峰行动</w:t>
      </w:r>
    </w:p>
    <w:p>
      <w:pPr>
        <w:spacing w:line="600" w:lineRule="exact"/>
        <w:ind w:firstLine="570"/>
        <w:rPr>
          <w:rFonts w:ascii="仿宋" w:hAnsi="仿宋" w:eastAsia="仿宋" w:cs="Times New Roman"/>
          <w:color w:val="auto"/>
          <w:sz w:val="32"/>
          <w:szCs w:val="32"/>
        </w:rPr>
      </w:pPr>
      <w:r>
        <w:rPr>
          <w:rFonts w:ascii="仿宋" w:hAnsi="仿宋" w:eastAsia="仿宋" w:cs="Times New Roman"/>
          <w:color w:val="auto"/>
          <w:sz w:val="32"/>
          <w:szCs w:val="32"/>
        </w:rPr>
        <w:t>贯彻国家、省碳达峰工作部署和要求，将碳达峰、碳中和目标任务全面纳入我</w:t>
      </w:r>
      <w:r>
        <w:rPr>
          <w:rFonts w:hint="eastAsia" w:ascii="仿宋" w:hAnsi="仿宋" w:eastAsia="仿宋" w:cs="Times New Roman"/>
          <w:color w:val="auto"/>
          <w:sz w:val="32"/>
          <w:szCs w:val="32"/>
          <w:lang w:eastAsia="zh-CN"/>
        </w:rPr>
        <w:t>县</w:t>
      </w:r>
      <w:r>
        <w:rPr>
          <w:rFonts w:ascii="仿宋" w:hAnsi="仿宋" w:eastAsia="仿宋" w:cs="Times New Roman"/>
          <w:color w:val="auto"/>
          <w:sz w:val="32"/>
          <w:szCs w:val="32"/>
        </w:rPr>
        <w:t>规划体系，强化规划的支撑保障，确保碳达峰、碳中和主要目标、发展方向、重大政策、重大工程的落实协调一致。</w:t>
      </w:r>
    </w:p>
    <w:p>
      <w:pPr>
        <w:spacing w:line="600" w:lineRule="exact"/>
        <w:ind w:firstLine="570"/>
        <w:rPr>
          <w:rFonts w:ascii="Times New Roman" w:hAnsi="Times New Roman" w:eastAsia="仿宋" w:cs="仿宋"/>
          <w:b/>
          <w:color w:val="auto"/>
          <w:sz w:val="32"/>
          <w:szCs w:val="32"/>
        </w:rPr>
      </w:pPr>
      <w:r>
        <w:rPr>
          <w:rFonts w:hint="eastAsia" w:ascii="Times New Roman" w:hAnsi="Times New Roman" w:eastAsia="仿宋" w:cs="仿宋"/>
          <w:b/>
          <w:color w:val="auto"/>
          <w:sz w:val="32"/>
          <w:szCs w:val="32"/>
        </w:rPr>
        <w:t>2</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强化温室气体排放控制</w:t>
      </w:r>
    </w:p>
    <w:p>
      <w:pPr>
        <w:spacing w:line="600" w:lineRule="exact"/>
        <w:ind w:firstLine="570"/>
        <w:rPr>
          <w:rFonts w:ascii="仿宋" w:hAnsi="仿宋" w:eastAsia="仿宋" w:cs="Times New Roman"/>
          <w:color w:val="auto"/>
          <w:sz w:val="32"/>
          <w:szCs w:val="32"/>
        </w:rPr>
      </w:pPr>
      <w:r>
        <w:rPr>
          <w:rFonts w:hint="eastAsia" w:ascii="仿宋" w:hAnsi="仿宋" w:eastAsia="仿宋" w:cs="Times New Roman"/>
          <w:b/>
          <w:bCs/>
          <w:color w:val="auto"/>
          <w:sz w:val="32"/>
          <w:szCs w:val="32"/>
        </w:rPr>
        <w:t>控制工业领域二氧化碳排放。</w:t>
      </w:r>
      <w:r>
        <w:rPr>
          <w:rFonts w:hint="eastAsia" w:ascii="仿宋" w:hAnsi="仿宋" w:eastAsia="仿宋" w:cs="Times New Roman"/>
          <w:color w:val="auto"/>
          <w:sz w:val="32"/>
          <w:szCs w:val="32"/>
        </w:rPr>
        <w:t>升级能源、建材、化工领域工艺技术，控制工业过程温室气体排放。鼓励利用转炉渣等非碳酸盐工业固碳废物作为原辅料生产水泥。推动有条件的行业开展全流程二氧化碳减排示范工程。加大对二氧化碳减排重大项目和技术创新扶持力度。</w:t>
      </w:r>
    </w:p>
    <w:p>
      <w:pPr>
        <w:spacing w:line="600" w:lineRule="exact"/>
        <w:ind w:firstLine="570"/>
        <w:rPr>
          <w:rFonts w:ascii="仿宋" w:hAnsi="仿宋" w:eastAsia="仿宋" w:cs="Times New Roman"/>
          <w:color w:val="auto"/>
          <w:sz w:val="32"/>
          <w:szCs w:val="32"/>
        </w:rPr>
      </w:pPr>
      <w:r>
        <w:rPr>
          <w:rFonts w:hint="eastAsia" w:ascii="仿宋" w:hAnsi="仿宋" w:eastAsia="仿宋" w:cs="Times New Roman"/>
          <w:b/>
          <w:bCs/>
          <w:color w:val="auto"/>
          <w:sz w:val="32"/>
          <w:szCs w:val="32"/>
        </w:rPr>
        <w:t>控制交通领域二氧化碳排放。</w:t>
      </w:r>
      <w:r>
        <w:rPr>
          <w:rFonts w:hint="eastAsia" w:ascii="仿宋" w:hAnsi="仿宋" w:eastAsia="仿宋" w:cs="Times New Roman"/>
          <w:color w:val="auto"/>
          <w:sz w:val="32"/>
          <w:szCs w:val="32"/>
        </w:rPr>
        <w:t>积极引导低碳出行，打造绿色低碳交通网络，落实营运车辆和船舶单位运输周转量的低碳比例。推广节能和新能源车辆，加快充电基础设施建设。加大交通行业节能低碳技术开发和推广。</w:t>
      </w:r>
    </w:p>
    <w:p>
      <w:pPr>
        <w:spacing w:line="600" w:lineRule="exact"/>
        <w:ind w:firstLine="570"/>
        <w:rPr>
          <w:rFonts w:hint="eastAsia" w:ascii="仿宋" w:hAnsi="仿宋" w:eastAsia="仿宋" w:cs="Times New Roman"/>
          <w:color w:val="auto"/>
          <w:sz w:val="32"/>
          <w:szCs w:val="32"/>
        </w:rPr>
      </w:pPr>
      <w:r>
        <w:rPr>
          <w:rFonts w:hint="eastAsia" w:ascii="仿宋" w:hAnsi="仿宋" w:eastAsia="仿宋" w:cs="Times New Roman"/>
          <w:b/>
          <w:bCs/>
          <w:color w:val="auto"/>
          <w:sz w:val="32"/>
          <w:szCs w:val="32"/>
        </w:rPr>
        <w:t>控制建筑领域二氧化碳排放。</w:t>
      </w:r>
      <w:r>
        <w:rPr>
          <w:rFonts w:hint="eastAsia" w:ascii="仿宋" w:hAnsi="仿宋" w:eastAsia="仿宋" w:cs="Times New Roman"/>
          <w:color w:val="auto"/>
          <w:sz w:val="32"/>
          <w:szCs w:val="32"/>
        </w:rPr>
        <w:t>开展绿色建筑创建行动，积极推进新建公共建筑能效，推动新建建筑全面执行现行节能标准，开展既有建筑节能改造，加强绿色建筑管理，政府投资建筑、公共建筑、保障性住房和各类棚户区改造项目，全面执行绿色建筑标准。</w:t>
      </w:r>
    </w:p>
    <w:p>
      <w:pPr>
        <w:spacing w:line="600" w:lineRule="exact"/>
        <w:ind w:firstLine="570"/>
        <w:rPr>
          <w:rFonts w:ascii="仿宋" w:hAnsi="仿宋" w:eastAsia="仿宋" w:cs="Times New Roman"/>
          <w:color w:val="auto"/>
          <w:sz w:val="32"/>
          <w:szCs w:val="32"/>
        </w:rPr>
      </w:pPr>
      <w:r>
        <w:rPr>
          <w:rFonts w:hint="eastAsia" w:ascii="仿宋" w:hAnsi="仿宋" w:eastAsia="仿宋" w:cs="Times New Roman"/>
          <w:b/>
          <w:bCs/>
          <w:color w:val="auto"/>
          <w:sz w:val="32"/>
          <w:szCs w:val="32"/>
        </w:rPr>
        <w:t>控制非二氧化碳温室气体排放。</w:t>
      </w:r>
      <w:r>
        <w:rPr>
          <w:rFonts w:hint="eastAsia" w:ascii="仿宋" w:hAnsi="仿宋" w:eastAsia="仿宋" w:cs="Times New Roman"/>
          <w:color w:val="auto"/>
          <w:sz w:val="32"/>
          <w:szCs w:val="32"/>
        </w:rPr>
        <w:t>开展煤层气甲烷、油气系统甲烷控制工作，推动建立煤矿煤层气（煤矿瓦斯）抽采利用示范项目。实施全氟化碳等含氟温室气体和氧化亚氮排放控制，推广六氟化硫替代技术。加强规模种养标准化，控制畜禽养殖甲烷和氧化亚氮排放。鼓励有条件的开展污水处理厂和垃圾填埋场甲烷回收利用。</w:t>
      </w:r>
    </w:p>
    <w:p>
      <w:pPr>
        <w:spacing w:line="600" w:lineRule="exact"/>
        <w:ind w:firstLine="570"/>
        <w:rPr>
          <w:rFonts w:ascii="仿宋" w:hAnsi="仿宋" w:eastAsia="仿宋" w:cs="Times New Roman"/>
          <w:color w:val="auto"/>
          <w:sz w:val="32"/>
          <w:szCs w:val="32"/>
        </w:rPr>
      </w:pPr>
      <w:r>
        <w:rPr>
          <w:rFonts w:hint="eastAsia" w:ascii="仿宋" w:hAnsi="仿宋" w:eastAsia="仿宋" w:cs="Times New Roman"/>
          <w:b/>
          <w:bCs/>
          <w:color w:val="auto"/>
          <w:sz w:val="32"/>
          <w:szCs w:val="32"/>
        </w:rPr>
        <w:t>增加生态系统碳汇。</w:t>
      </w:r>
      <w:r>
        <w:rPr>
          <w:rFonts w:hint="eastAsia" w:ascii="仿宋" w:hAnsi="仿宋" w:eastAsia="仿宋" w:cs="Times New Roman"/>
          <w:color w:val="auto"/>
          <w:sz w:val="32"/>
          <w:szCs w:val="32"/>
        </w:rPr>
        <w:t>积极指导林业碳汇项目开发，加强碳汇方面人才队伍建设，推进碳汇造林项目培育。支持企业按照国家自愿减排市场政策，做好碳汇造林和森林经营增汇试点准备工作，完善碳汇经济运行架构，创新碳汇经营体制机制，营造碳汇经济市场环境，培育碳汇经济产业发展，激活碳金融服务，深度开发碳汇产品，扩大碳汇市场需求。</w:t>
      </w:r>
    </w:p>
    <w:p>
      <w:pPr>
        <w:spacing w:line="600" w:lineRule="exact"/>
        <w:rPr>
          <w:rFonts w:ascii="Times New Roman" w:hAnsi="Times New Roman" w:eastAsia="仿宋" w:cs="仿宋"/>
          <w:b/>
          <w:color w:val="auto"/>
          <w:sz w:val="32"/>
          <w:szCs w:val="32"/>
        </w:rPr>
      </w:pPr>
      <w:r>
        <w:rPr>
          <w:rFonts w:hint="eastAsia" w:ascii="Times New Roman" w:hAnsi="Times New Roman" w:eastAsia="仿宋" w:cs="仿宋"/>
          <w:color w:val="auto"/>
          <w:sz w:val="32"/>
          <w:szCs w:val="32"/>
        </w:rPr>
        <w:t>　　</w:t>
      </w:r>
      <w:r>
        <w:rPr>
          <w:rFonts w:hint="eastAsia" w:ascii="Times New Roman" w:hAnsi="Times New Roman" w:eastAsia="仿宋" w:cs="仿宋"/>
          <w:b/>
          <w:color w:val="auto"/>
          <w:sz w:val="32"/>
          <w:szCs w:val="32"/>
        </w:rPr>
        <w:t>3</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建立健全应对气候变化管理机制</w:t>
      </w:r>
    </w:p>
    <w:p>
      <w:pPr>
        <w:spacing w:line="600" w:lineRule="exact"/>
        <w:ind w:firstLine="570"/>
        <w:rPr>
          <w:rFonts w:hint="eastAsia" w:ascii="仿宋" w:hAnsi="仿宋" w:eastAsia="仿宋" w:cs="Times New Roman"/>
          <w:color w:val="auto"/>
          <w:sz w:val="32"/>
          <w:szCs w:val="32"/>
        </w:rPr>
      </w:pPr>
      <w:r>
        <w:rPr>
          <w:rFonts w:hint="eastAsia" w:ascii="仿宋" w:hAnsi="仿宋" w:eastAsia="仿宋" w:cs="Times New Roman"/>
          <w:b/>
          <w:bCs/>
          <w:color w:val="auto"/>
          <w:sz w:val="32"/>
          <w:szCs w:val="32"/>
        </w:rPr>
        <w:t>推动应对气候变化与生态环境管理制度融合。</w:t>
      </w:r>
      <w:r>
        <w:rPr>
          <w:rFonts w:hint="eastAsia" w:ascii="仿宋" w:hAnsi="仿宋" w:eastAsia="仿宋" w:cs="Times New Roman"/>
          <w:color w:val="auto"/>
          <w:sz w:val="32"/>
          <w:szCs w:val="32"/>
        </w:rPr>
        <w:t>将应对气候变化要求纳入“三线一单”生态环境分区管控体系，推动将气候变化影响纳入环境影响评价，通过规划环评、项目环评推动区域、行业和企业落实煤炭消费削减替代。加强对温室气体排放重点单位监管执法，建设温室气体监测网络，逐步探索和开展二氧化碳、甲烷、非甲烷总烃、氧化亚氮监测工作。强化污水、垃圾等集中处置设施环境管理，协同控制甲烷、氧化亚氮等温室气体排放。完善企业碳排放信息披露等。</w:t>
      </w:r>
    </w:p>
    <w:p>
      <w:pPr>
        <w:spacing w:line="600" w:lineRule="exact"/>
        <w:ind w:firstLine="570"/>
        <w:rPr>
          <w:rFonts w:hint="eastAsia" w:ascii="仿宋" w:hAnsi="仿宋" w:eastAsia="仿宋" w:cs="Times New Roman"/>
          <w:color w:val="auto"/>
          <w:sz w:val="32"/>
          <w:szCs w:val="32"/>
        </w:rPr>
      </w:pPr>
      <w:r>
        <w:rPr>
          <w:rFonts w:hint="eastAsia" w:ascii="仿宋" w:hAnsi="仿宋" w:eastAsia="仿宋" w:cs="Times New Roman"/>
          <w:b/>
          <w:bCs/>
          <w:color w:val="auto"/>
          <w:sz w:val="32"/>
          <w:szCs w:val="32"/>
        </w:rPr>
        <w:t>健全应对气候变化工作推进机制。</w:t>
      </w:r>
      <w:r>
        <w:rPr>
          <w:rFonts w:hint="eastAsia" w:ascii="仿宋" w:hAnsi="仿宋" w:eastAsia="仿宋" w:cs="Times New Roman"/>
          <w:color w:val="auto"/>
          <w:sz w:val="32"/>
          <w:szCs w:val="32"/>
        </w:rPr>
        <w:t>完善评价考核机制，加强对地方控制温室气体排放工作评价考核和调度督导。推动建立应对气候变化基础数据获取渠道和部门会商机制，提高数据时效性。完善温室气体排放统计核算体系、管理体系和长期研究支撑机制，开展温室气体统计核算工作，适时编制温室气体排放清单。加强应对气候变化技术支撑能力建设。</w:t>
      </w:r>
    </w:p>
    <w:p>
      <w:pPr>
        <w:spacing w:line="600" w:lineRule="exact"/>
        <w:ind w:firstLine="570"/>
        <w:rPr>
          <w:rFonts w:hint="eastAsia" w:ascii="仿宋" w:hAnsi="仿宋" w:eastAsia="仿宋" w:cs="Times New Roman"/>
          <w:color w:val="auto"/>
          <w:sz w:val="32"/>
          <w:szCs w:val="32"/>
        </w:rPr>
      </w:pPr>
      <w:r>
        <w:rPr>
          <w:rFonts w:hint="eastAsia" w:ascii="仿宋" w:hAnsi="仿宋" w:eastAsia="仿宋" w:cs="Times New Roman"/>
          <w:b/>
          <w:bCs/>
          <w:color w:val="auto"/>
          <w:sz w:val="32"/>
          <w:szCs w:val="32"/>
        </w:rPr>
        <w:t>提升适应气候变化能力。</w:t>
      </w:r>
      <w:r>
        <w:rPr>
          <w:rFonts w:hint="eastAsia" w:ascii="仿宋" w:hAnsi="仿宋" w:eastAsia="仿宋" w:cs="Times New Roman"/>
          <w:color w:val="auto"/>
          <w:sz w:val="32"/>
          <w:szCs w:val="32"/>
        </w:rPr>
        <w:t>落实国家适应气候变化战略，鼓励开展气候变化影响及风险基础研究，增强农业、林业、水资源等领域对气候变化的适应能力，持续做好气象灾害预测预警和防灾减灾工作。</w:t>
      </w:r>
    </w:p>
    <w:p>
      <w:pPr>
        <w:spacing w:line="600" w:lineRule="exact"/>
        <w:ind w:firstLine="642" w:firstLineChars="200"/>
        <w:rPr>
          <w:rFonts w:ascii="楷体" w:hAnsi="楷体" w:eastAsia="楷体" w:cs="仿宋"/>
          <w:b/>
          <w:color w:val="auto"/>
          <w:sz w:val="32"/>
          <w:szCs w:val="32"/>
        </w:rPr>
      </w:pPr>
      <w:r>
        <w:rPr>
          <w:rFonts w:hint="eastAsia" w:ascii="楷体" w:hAnsi="楷体" w:eastAsia="楷体" w:cs="仿宋"/>
          <w:b/>
          <w:color w:val="auto"/>
          <w:sz w:val="32"/>
          <w:szCs w:val="32"/>
        </w:rPr>
        <w:t>（三）深化协同防治，全面改善空气质量</w:t>
      </w:r>
    </w:p>
    <w:p>
      <w:pPr>
        <w:spacing w:line="600" w:lineRule="exact"/>
        <w:ind w:firstLine="642" w:firstLineChars="200"/>
        <w:rPr>
          <w:rFonts w:ascii="Times New Roman" w:hAnsi="Times New Roman" w:eastAsia="仿宋" w:cs="仿宋"/>
          <w:b/>
          <w:color w:val="auto"/>
          <w:sz w:val="32"/>
          <w:szCs w:val="32"/>
        </w:rPr>
      </w:pPr>
      <w:r>
        <w:rPr>
          <w:rFonts w:hint="eastAsia" w:ascii="Times New Roman" w:hAnsi="Times New Roman" w:eastAsia="仿宋" w:cs="仿宋"/>
          <w:b/>
          <w:color w:val="auto"/>
          <w:sz w:val="32"/>
          <w:szCs w:val="32"/>
        </w:rPr>
        <w:t>1</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加强细颗粒物污染防治</w:t>
      </w:r>
    </w:p>
    <w:p>
      <w:pPr>
        <w:spacing w:line="600" w:lineRule="exact"/>
        <w:ind w:firstLine="570"/>
        <w:rPr>
          <w:rFonts w:hint="eastAsia" w:ascii="仿宋" w:hAnsi="仿宋" w:eastAsia="仿宋" w:cs="Times New Roman"/>
          <w:color w:val="auto"/>
          <w:sz w:val="32"/>
          <w:szCs w:val="32"/>
        </w:rPr>
      </w:pPr>
      <w:r>
        <w:rPr>
          <w:rFonts w:hint="eastAsia" w:ascii="仿宋" w:hAnsi="仿宋" w:eastAsia="仿宋" w:cs="Times New Roman"/>
          <w:b/>
          <w:bCs/>
          <w:color w:val="auto"/>
          <w:sz w:val="32"/>
          <w:szCs w:val="32"/>
        </w:rPr>
        <w:t>实施大气环境质量目标管理。</w:t>
      </w:r>
      <w:r>
        <w:rPr>
          <w:rFonts w:hint="eastAsia" w:ascii="仿宋" w:hAnsi="仿宋" w:eastAsia="仿宋" w:cs="Times New Roman"/>
          <w:color w:val="auto"/>
          <w:sz w:val="32"/>
          <w:szCs w:val="32"/>
        </w:rPr>
        <w:t>对照远景目标，开展形势分析，逐步提高大气环境质量目标，持续改善城市大气环境质量。</w:t>
      </w:r>
    </w:p>
    <w:p>
      <w:pPr>
        <w:spacing w:line="600" w:lineRule="exact"/>
        <w:ind w:firstLine="570"/>
        <w:rPr>
          <w:rFonts w:hint="eastAsia" w:ascii="仿宋" w:hAnsi="仿宋" w:eastAsia="仿宋" w:cs="Times New Roman"/>
          <w:color w:val="auto"/>
          <w:sz w:val="32"/>
          <w:szCs w:val="32"/>
        </w:rPr>
      </w:pPr>
      <w:r>
        <w:rPr>
          <w:rFonts w:hint="eastAsia" w:ascii="仿宋" w:hAnsi="仿宋" w:eastAsia="仿宋" w:cs="Times New Roman"/>
          <w:b/>
          <w:bCs/>
          <w:color w:val="auto"/>
          <w:sz w:val="32"/>
          <w:szCs w:val="32"/>
        </w:rPr>
        <w:t>开展工业炉窑深度治理。</w:t>
      </w:r>
      <w:r>
        <w:rPr>
          <w:rFonts w:hint="eastAsia" w:ascii="仿宋" w:hAnsi="仿宋" w:eastAsia="仿宋" w:cs="Times New Roman"/>
          <w:color w:val="auto"/>
          <w:sz w:val="32"/>
          <w:szCs w:val="32"/>
        </w:rPr>
        <w:t>分类建立超低排放改造以外的重点涉工业炉窑行业清单，制定工业炉窑深度治理工作方案。严格排放标准要求，加强不达标工业炉窑的淘汰力度，加快淘汰中小型煤气发生炉。鼓励工业炉窑使用电、天然气等清洁能源或由周边热电厂供热。</w:t>
      </w:r>
    </w:p>
    <w:p>
      <w:pPr>
        <w:spacing w:line="600" w:lineRule="exact"/>
        <w:ind w:firstLine="570"/>
        <w:rPr>
          <w:rFonts w:hint="eastAsia" w:ascii="仿宋" w:hAnsi="仿宋" w:eastAsia="仿宋" w:cs="Times New Roman"/>
          <w:color w:val="auto"/>
          <w:sz w:val="32"/>
          <w:szCs w:val="32"/>
        </w:rPr>
      </w:pPr>
      <w:r>
        <w:rPr>
          <w:rFonts w:hint="eastAsia" w:ascii="仿宋" w:hAnsi="仿宋" w:eastAsia="仿宋" w:cs="Times New Roman"/>
          <w:b/>
          <w:bCs/>
          <w:color w:val="auto"/>
          <w:sz w:val="32"/>
          <w:szCs w:val="32"/>
        </w:rPr>
        <w:t>加大燃煤污染治理力度。</w:t>
      </w:r>
      <w:r>
        <w:rPr>
          <w:rFonts w:hint="eastAsia" w:ascii="仿宋" w:hAnsi="仿宋" w:eastAsia="仿宋" w:cs="Times New Roman"/>
          <w:color w:val="auto"/>
          <w:sz w:val="32"/>
          <w:szCs w:val="32"/>
        </w:rPr>
        <w:t>深入实施散煤污染治理“三重一改”攻坚行动，统筹城市棚户区、城中村、城乡结合部、商户和农村地区散煤污染治理，按照煤炭集中使用、清洁利用的原则，重点削减散煤、工业锅炉、工业炉窑等非电用煤，以“煤改气”“煤改电”为主要方式，降低煤炭在能源消费中的比重。持续推进清洁取暖，加快生物质成型燃料供暖，构建绿色、节约、高效、协调、适用的清洁供暖体系</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主城区建成区基本实现散煤清零。加快淘汰地级城市建成区10—35蒸吨/小时燃煤锅炉，推进65蒸吨/小时及以上燃煤锅炉（含电力）超低排放改造。实现20蒸吨/小时及以上锅炉稳定达标排放全覆盖。</w:t>
      </w:r>
    </w:p>
    <w:p>
      <w:pPr>
        <w:spacing w:line="600" w:lineRule="exact"/>
        <w:ind w:firstLine="642" w:firstLineChars="200"/>
        <w:rPr>
          <w:rFonts w:hint="eastAsia" w:ascii="仿宋" w:hAnsi="仿宋" w:eastAsia="仿宋" w:cs="Times New Roman"/>
          <w:color w:val="auto"/>
          <w:sz w:val="32"/>
          <w:szCs w:val="32"/>
        </w:rPr>
      </w:pPr>
      <w:r>
        <w:rPr>
          <w:rFonts w:hint="eastAsia" w:ascii="仿宋" w:hAnsi="仿宋" w:eastAsia="仿宋" w:cs="Times New Roman"/>
          <w:b/>
          <w:bCs/>
          <w:color w:val="auto"/>
          <w:sz w:val="32"/>
          <w:szCs w:val="32"/>
        </w:rPr>
        <w:t>强化秸秆综合利用和禁烧。</w:t>
      </w:r>
      <w:r>
        <w:rPr>
          <w:rFonts w:hint="eastAsia" w:ascii="仿宋" w:hAnsi="仿宋" w:eastAsia="仿宋" w:cs="Times New Roman"/>
          <w:color w:val="auto"/>
          <w:sz w:val="32"/>
          <w:szCs w:val="32"/>
        </w:rPr>
        <w:t>推进秸秆综合利用实施，合理安排“五化”利用，完善秸秆收储运体系，研发推广综合利用先进技术和设备。加强试点示范，拓宽利用路径，完善扶持政策，探索建立政府、企业与农民三方共赢的秸秆综合利用利益链接机制，实现秸秆综合利用水平全面提升。强化各级网格责任单位秸秆禁烧主体责任，健全市县乡村“四级”网格化监管体系，强化秸秆禁烧督查巡查，综合运用卫星遥感、高清视频监控等手段，不断提高禁烧监管水平，严格落实奖惩制度。全</w:t>
      </w:r>
      <w:r>
        <w:rPr>
          <w:rFonts w:hint="eastAsia" w:ascii="仿宋" w:hAnsi="仿宋" w:eastAsia="仿宋" w:cs="Times New Roman"/>
          <w:color w:val="auto"/>
          <w:sz w:val="32"/>
          <w:szCs w:val="32"/>
          <w:lang w:eastAsia="zh-CN"/>
        </w:rPr>
        <w:t>县</w:t>
      </w:r>
      <w:r>
        <w:rPr>
          <w:rFonts w:hint="eastAsia" w:ascii="仿宋" w:hAnsi="仿宋" w:eastAsia="仿宋" w:cs="Times New Roman"/>
          <w:color w:val="auto"/>
          <w:sz w:val="32"/>
          <w:szCs w:val="32"/>
        </w:rPr>
        <w:t>秸秆还田率达到60%以上，秸秆综合利用率达到90%。</w:t>
      </w:r>
    </w:p>
    <w:p>
      <w:pPr>
        <w:spacing w:line="600" w:lineRule="exact"/>
        <w:ind w:firstLine="570"/>
        <w:rPr>
          <w:rFonts w:hint="eastAsia" w:ascii="仿宋" w:hAnsi="仿宋" w:eastAsia="仿宋" w:cs="Times New Roman"/>
          <w:color w:val="auto"/>
          <w:sz w:val="32"/>
          <w:szCs w:val="32"/>
        </w:rPr>
      </w:pPr>
      <w:r>
        <w:rPr>
          <w:rFonts w:hint="eastAsia" w:ascii="仿宋" w:hAnsi="仿宋" w:eastAsia="仿宋" w:cs="Times New Roman"/>
          <w:b/>
          <w:bCs/>
          <w:color w:val="auto"/>
          <w:sz w:val="32"/>
          <w:szCs w:val="32"/>
        </w:rPr>
        <w:t>推进扬尘精细化管控。</w:t>
      </w:r>
      <w:r>
        <w:rPr>
          <w:rFonts w:hint="eastAsia" w:ascii="仿宋" w:hAnsi="仿宋" w:eastAsia="仿宋" w:cs="Times New Roman"/>
          <w:color w:val="auto"/>
          <w:sz w:val="32"/>
          <w:szCs w:val="32"/>
        </w:rPr>
        <w:t>全面推行绿色施工，严格落实施工工地扬尘管控责任，加强施工扬尘监管执法。推进低尘机械化湿式清扫作业，加大城市出入口、城乡结合部等重要路段冲洗保洁力度，渣土车实施全密闭运输，强化绿化用地扬尘治理。城市裸露地面、粉粒类物料堆放以及大型煤炭和矿石、干散货物料堆场，全面完成抑尘设施建设和物料输送系统封闭改造，鼓励有条件的堆场实施全封闭改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 w:cs="仿宋"/>
          <w:b/>
          <w:color w:val="auto"/>
          <w:sz w:val="32"/>
          <w:szCs w:val="32"/>
        </w:rPr>
      </w:pPr>
      <w:r>
        <w:rPr>
          <w:rFonts w:hint="eastAsia" w:ascii="Times New Roman" w:hAnsi="Times New Roman" w:eastAsia="仿宋" w:cs="仿宋"/>
          <w:color w:val="auto"/>
          <w:sz w:val="32"/>
          <w:szCs w:val="32"/>
        </w:rPr>
        <w:t>　　</w:t>
      </w:r>
      <w:r>
        <w:rPr>
          <w:rFonts w:hint="eastAsia" w:ascii="Times New Roman" w:hAnsi="Times New Roman" w:eastAsia="仿宋" w:cs="仿宋"/>
          <w:b/>
          <w:color w:val="auto"/>
          <w:sz w:val="32"/>
          <w:szCs w:val="32"/>
        </w:rPr>
        <w:t>2</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推进多污染物协同减排</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Times New Roman"/>
          <w:color w:val="auto"/>
          <w:sz w:val="32"/>
          <w:szCs w:val="32"/>
        </w:rPr>
      </w:pPr>
      <w:r>
        <w:rPr>
          <w:rFonts w:hint="eastAsia" w:ascii="仿宋" w:hAnsi="仿宋" w:eastAsia="仿宋" w:cs="Times New Roman"/>
          <w:b/>
          <w:bCs/>
          <w:color w:val="auto"/>
          <w:sz w:val="32"/>
          <w:szCs w:val="32"/>
        </w:rPr>
        <w:t>实施重点行业NOx（氮氧化物）等污染物深度治理。</w:t>
      </w:r>
      <w:r>
        <w:rPr>
          <w:rFonts w:hint="eastAsia" w:ascii="仿宋" w:hAnsi="仿宋" w:eastAsia="仿宋" w:cs="Times New Roman"/>
          <w:color w:val="auto"/>
          <w:sz w:val="32"/>
          <w:szCs w:val="32"/>
        </w:rPr>
        <w:t>推进焦化行业超低排放改造，焦化企业基本完成超低排放改造，实现焦化企业脱硫脱硝全覆盖。加强生物质锅炉燃料品质及排放管控，禁止掺烧煤炭、垃圾和工业固废，对不能稳定达标排放的生物质锅炉进行整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Times New Roman"/>
          <w:color w:val="auto"/>
          <w:sz w:val="32"/>
          <w:szCs w:val="32"/>
        </w:rPr>
      </w:pPr>
      <w:r>
        <w:rPr>
          <w:rFonts w:hint="eastAsia" w:ascii="仿宋" w:hAnsi="仿宋" w:eastAsia="仿宋" w:cs="Times New Roman"/>
          <w:b/>
          <w:bCs/>
          <w:color w:val="auto"/>
          <w:sz w:val="32"/>
          <w:szCs w:val="32"/>
        </w:rPr>
        <w:t>开展VOCs（挥发性有机物）全过程综合整治。</w:t>
      </w:r>
      <w:r>
        <w:rPr>
          <w:rFonts w:hint="eastAsia" w:ascii="仿宋" w:hAnsi="仿宋" w:eastAsia="仿宋" w:cs="Times New Roman"/>
          <w:color w:val="auto"/>
          <w:sz w:val="32"/>
          <w:szCs w:val="32"/>
        </w:rPr>
        <w:t>提高重点行业有机废气收集率，持续开展石化、化工、包装印刷、工业涂装等重点行业VOCs全过程综合整治。提高VOCs含量低（无）的绿色原辅材料替代比例，开展原油、成品油、有机化学品等涉VOCs物质储罐排查，按规定逐步取消煤化工、制药、农药、化工、工业涂装、包装印刷等企业非必要VOCs废气排放系统旁路。鼓励企业集群统筹规划建设集中涂装中心、活性</w:t>
      </w:r>
      <w:r>
        <w:rPr>
          <w:rFonts w:hint="eastAsia" w:ascii="仿宋" w:hAnsi="仿宋" w:eastAsia="仿宋" w:cs="Times New Roman"/>
          <w:color w:val="auto"/>
          <w:sz w:val="32"/>
          <w:szCs w:val="32"/>
          <w:lang w:eastAsia="zh-CN"/>
        </w:rPr>
        <w:t>炭</w:t>
      </w:r>
      <w:r>
        <w:rPr>
          <w:rFonts w:hint="eastAsia" w:ascii="仿宋" w:hAnsi="仿宋" w:eastAsia="仿宋" w:cs="Times New Roman"/>
          <w:color w:val="auto"/>
          <w:sz w:val="32"/>
          <w:szCs w:val="32"/>
        </w:rPr>
        <w:t>集中处理中心、溶剂回收中心。加强对加油站、储油库、油罐车的油气回收设施运行，加大餐饮油烟治理力度，加强汽修、餐饮等行业VOCs综合治理。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Times New Roman"/>
          <w:color w:val="auto"/>
          <w:sz w:val="32"/>
          <w:szCs w:val="32"/>
        </w:rPr>
      </w:pPr>
      <w:r>
        <w:rPr>
          <w:rFonts w:hint="eastAsia" w:ascii="仿宋" w:hAnsi="仿宋" w:eastAsia="仿宋" w:cs="Times New Roman"/>
          <w:b/>
          <w:bCs/>
          <w:color w:val="auto"/>
          <w:sz w:val="32"/>
          <w:szCs w:val="32"/>
        </w:rPr>
        <w:t>强化车油联合管控。</w:t>
      </w:r>
      <w:r>
        <w:rPr>
          <w:rFonts w:hint="eastAsia" w:ascii="仿宋" w:hAnsi="仿宋" w:eastAsia="仿宋" w:cs="Times New Roman"/>
          <w:color w:val="auto"/>
          <w:sz w:val="32"/>
          <w:szCs w:val="32"/>
        </w:rPr>
        <w:t>进一步规范成品油市场，提高清洁油品供应保障能力、油品质量监管水平，严厉打击生产、销售、储存和使用非标油品行为。加强新生产车辆达标排放监管，严格实施国家机动车油耗和排放标准，强化新生产货车监督抽查。通过部门联合执法、提高路检路查和入户监督抽测频次以及加强重污染天气柴油车管理等方式，加大在用车监督执法力度。强化非道路移动机械生产企业监管和排放控制区管控，基本消除未登记和冒黑烟工程机械。</w:t>
      </w:r>
      <w:bookmarkStart w:id="17" w:name="_Toc51315592"/>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Times New Roman"/>
          <w:color w:val="auto"/>
          <w:sz w:val="32"/>
          <w:szCs w:val="32"/>
        </w:rPr>
      </w:pPr>
      <w:r>
        <w:rPr>
          <w:rFonts w:hint="eastAsia" w:ascii="仿宋" w:hAnsi="仿宋" w:eastAsia="仿宋" w:cs="Times New Roman"/>
          <w:b/>
          <w:bCs/>
          <w:color w:val="auto"/>
          <w:sz w:val="32"/>
          <w:szCs w:val="32"/>
        </w:rPr>
        <w:t>推进车船结构升级。</w:t>
      </w:r>
      <w:r>
        <w:rPr>
          <w:rFonts w:hint="eastAsia" w:ascii="仿宋" w:hAnsi="仿宋" w:eastAsia="仿宋" w:cs="Times New Roman"/>
          <w:color w:val="auto"/>
          <w:sz w:val="32"/>
          <w:szCs w:val="32"/>
        </w:rPr>
        <w:t>全面实行国六排放标准，按照国家要求推动船舶排放标准升级。推广使用新能源汽车，推进城市建成区新增和更新的公交、环卫、邮政、出租、通勤、轻型物流配送车辆采用新能源汽车。推广使用纯电动和天然气等清洁能源船舶。</w:t>
      </w:r>
      <w:bookmarkEnd w:id="17"/>
      <w:r>
        <w:rPr>
          <w:rFonts w:hint="eastAsia" w:ascii="仿宋" w:hAnsi="仿宋" w:eastAsia="仿宋" w:cs="Times New Roman"/>
          <w:color w:val="auto"/>
          <w:sz w:val="32"/>
          <w:szCs w:val="32"/>
        </w:rPr>
        <w:t>全面实施非道路移动柴油机械第四阶段排放标准，基本淘汰国三及以下排放标准汽车。</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Times New Roman"/>
          <w:color w:val="auto"/>
          <w:sz w:val="32"/>
          <w:szCs w:val="32"/>
        </w:rPr>
      </w:pPr>
      <w:r>
        <w:rPr>
          <w:rFonts w:hint="eastAsia" w:ascii="仿宋" w:hAnsi="仿宋" w:eastAsia="仿宋" w:cs="Times New Roman"/>
          <w:b/>
          <w:bCs/>
          <w:color w:val="auto"/>
          <w:sz w:val="32"/>
          <w:szCs w:val="32"/>
        </w:rPr>
        <w:t>推动其他涉气污染物治理。</w:t>
      </w:r>
      <w:r>
        <w:rPr>
          <w:rFonts w:hint="eastAsia" w:ascii="仿宋" w:hAnsi="仿宋" w:eastAsia="仿宋" w:cs="Times New Roman"/>
          <w:color w:val="auto"/>
          <w:sz w:val="32"/>
          <w:szCs w:val="32"/>
        </w:rPr>
        <w:t>推进大气氨排放控制，注重源头防控，优化饲料结构，强化畜禽养殖业氨排放综合管控；加强氮肥、纯碱等行业氨排放治理，强化工业源烟气脱硫脱硝氨逃逸防控。推动开展消耗臭氧层物质和氢氟碳化物环境管理。开展重点行业恶臭综合治理，推动恶臭投诉集中的重点企业和园区安装运行在线监测预警系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 w:cs="仿宋"/>
          <w:b/>
          <w:color w:val="auto"/>
          <w:sz w:val="32"/>
          <w:szCs w:val="32"/>
        </w:rPr>
      </w:pPr>
      <w:r>
        <w:rPr>
          <w:rFonts w:hint="eastAsia" w:ascii="Times New Roman" w:hAnsi="Times New Roman" w:eastAsia="仿宋" w:cs="仿宋"/>
          <w:b/>
          <w:color w:val="auto"/>
          <w:sz w:val="32"/>
          <w:szCs w:val="32"/>
        </w:rPr>
        <w:t>3</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提升区域联防联控能力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　　</w:t>
      </w:r>
      <w:r>
        <w:rPr>
          <w:rFonts w:hint="eastAsia" w:ascii="仿宋" w:hAnsi="仿宋" w:eastAsia="仿宋" w:cs="Times New Roman"/>
          <w:b/>
          <w:bCs/>
          <w:color w:val="auto"/>
          <w:sz w:val="32"/>
          <w:szCs w:val="32"/>
        </w:rPr>
        <w:t>深化区域大气污染联防联控机制。</w:t>
      </w:r>
      <w:r>
        <w:rPr>
          <w:rFonts w:hint="eastAsia" w:ascii="Times New Roman" w:hAnsi="Times New Roman" w:eastAsia="仿宋" w:cs="仿宋"/>
          <w:color w:val="auto"/>
          <w:sz w:val="32"/>
          <w:szCs w:val="32"/>
        </w:rPr>
        <w:t>构建重点区域常态化协作机制，实施区域统一规划、统一标准、统一监测、统一污染防治措施，完善重大项目环境影响评价区域会商机制。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 w:cs="仿宋"/>
          <w:b/>
          <w:color w:val="auto"/>
          <w:sz w:val="32"/>
          <w:szCs w:val="32"/>
        </w:rPr>
      </w:pPr>
      <w:r>
        <w:rPr>
          <w:rFonts w:hint="eastAsia" w:ascii="Times New Roman" w:hAnsi="Times New Roman" w:eastAsia="仿宋" w:cs="仿宋"/>
          <w:b/>
          <w:color w:val="auto"/>
          <w:sz w:val="32"/>
          <w:szCs w:val="32"/>
        </w:rPr>
        <w:t>4</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强化噪声污染防治</w:t>
      </w:r>
    </w:p>
    <w:p>
      <w:pPr>
        <w:spacing w:line="600" w:lineRule="exact"/>
        <w:ind w:firstLine="642" w:firstLineChars="200"/>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制定实施噪声污染防治行动计划。</w:t>
      </w:r>
      <w:r>
        <w:rPr>
          <w:rFonts w:hint="eastAsia" w:ascii="仿宋" w:hAnsi="仿宋" w:eastAsia="仿宋" w:cs="Times New Roman"/>
          <w:color w:val="auto"/>
          <w:sz w:val="32"/>
          <w:szCs w:val="32"/>
          <w:lang w:val="en-US" w:eastAsia="zh-CN"/>
        </w:rPr>
        <w:t>开展环境功能区评估与调整。在制定国土空间规划及交通运输等相关规划时，合理划定防噪声距离，明确规划设计要求。因特殊需要必须连续作业的，必须有县级以上政府或者其有关主管部门的证明，并公告附近居民。鼓励采用低噪声施工设备和工艺。依法将工业企业噪声纳入排污许可管理，严厉查处工业企业噪声排放超标扰民行为。加强对文化娱乐、商业经营中社会生活噪声热点问题日常监管和集中整治。</w:t>
      </w:r>
      <w:bookmarkEnd w:id="16"/>
      <w:bookmarkStart w:id="18" w:name="_Toc51315593"/>
      <w:bookmarkStart w:id="19" w:name="_Toc51315594"/>
    </w:p>
    <w:p>
      <w:pPr>
        <w:spacing w:line="600" w:lineRule="exact"/>
        <w:ind w:firstLine="642" w:firstLineChars="200"/>
        <w:rPr>
          <w:rFonts w:ascii="楷体" w:hAnsi="楷体" w:eastAsia="楷体" w:cs="仿宋"/>
          <w:b/>
          <w:color w:val="auto"/>
          <w:sz w:val="32"/>
          <w:szCs w:val="32"/>
        </w:rPr>
      </w:pPr>
      <w:r>
        <w:rPr>
          <w:rFonts w:hint="eastAsia" w:ascii="楷体" w:hAnsi="楷体" w:eastAsia="楷体" w:cs="仿宋"/>
          <w:b/>
          <w:color w:val="auto"/>
          <w:sz w:val="32"/>
          <w:szCs w:val="32"/>
        </w:rPr>
        <w:t>（四）强化系统治理，持续提升水环境质量</w:t>
      </w:r>
    </w:p>
    <w:bookmarkEnd w:id="18"/>
    <w:p>
      <w:pPr>
        <w:spacing w:line="600" w:lineRule="exact"/>
        <w:ind w:firstLine="640" w:firstLineChars="200"/>
        <w:rPr>
          <w:rFonts w:ascii="CESI仿宋-GB2312" w:hAnsi="CESI仿宋-GB2312" w:eastAsia="CESI仿宋-GB2312" w:cs="CESI仿宋-GB2312"/>
          <w:b/>
          <w:color w:val="auto"/>
          <w:sz w:val="32"/>
          <w:szCs w:val="32"/>
        </w:rPr>
      </w:pPr>
      <w:r>
        <w:rPr>
          <w:rFonts w:hint="eastAsia" w:ascii="CESI仿宋-GB2312" w:hAnsi="CESI仿宋-GB2312" w:eastAsia="CESI仿宋-GB2312" w:cs="CESI仿宋-GB2312"/>
          <w:b/>
          <w:color w:val="auto"/>
          <w:sz w:val="32"/>
          <w:szCs w:val="32"/>
        </w:rPr>
        <w:t>1.精准发力提升水环境质量</w:t>
      </w:r>
    </w:p>
    <w:p>
      <w:pPr>
        <w:spacing w:line="600" w:lineRule="exact"/>
        <w:ind w:firstLine="642" w:firstLineChars="200"/>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加强饮用水安全保障。</w:t>
      </w:r>
      <w:r>
        <w:rPr>
          <w:rFonts w:hint="eastAsia" w:ascii="仿宋" w:hAnsi="仿宋" w:eastAsia="仿宋" w:cs="Times New Roman"/>
          <w:color w:val="auto"/>
          <w:sz w:val="32"/>
          <w:szCs w:val="32"/>
          <w:lang w:val="en-US" w:eastAsia="zh-CN"/>
        </w:rPr>
        <w:t>稳步推进农村集中式饮用水水源保护区划分工作。加大饮用水安全状况信息公开力度，引导公众监督。完成乡镇级及以上集中式饮用水水源保护区标志设立和隔离防护设施建设。县级及以上城市集中式饮用水水源水质（剔除本底值）全部达到或优于Ⅲ类水质。</w:t>
      </w:r>
    </w:p>
    <w:p>
      <w:pPr>
        <w:spacing w:line="600" w:lineRule="exact"/>
        <w:ind w:firstLine="642" w:firstLineChars="200"/>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基本消除城市黑臭水体。</w:t>
      </w:r>
      <w:r>
        <w:rPr>
          <w:rFonts w:hint="eastAsia" w:ascii="仿宋" w:hAnsi="仿宋" w:eastAsia="仿宋" w:cs="Times New Roman"/>
          <w:color w:val="auto"/>
          <w:sz w:val="32"/>
          <w:szCs w:val="32"/>
          <w:lang w:val="en-US" w:eastAsia="zh-CN"/>
        </w:rPr>
        <w:t>持续打好城市黑臭水体治理攻坚战。充分发挥河湖长制作用，巩固城市黑臭水体治理成效，建立健全长效机制，黑臭水体不返黑返臭，达到长制久清标准。</w:t>
      </w:r>
    </w:p>
    <w:p>
      <w:pPr>
        <w:spacing w:line="600" w:lineRule="exact"/>
        <w:rPr>
          <w:rFonts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　　</w:t>
      </w:r>
      <w:r>
        <w:rPr>
          <w:rFonts w:hint="eastAsia" w:ascii="CESI仿宋-GB2312" w:hAnsi="CESI仿宋-GB2312" w:eastAsia="CESI仿宋-GB2312" w:cs="CESI仿宋-GB2312"/>
          <w:b/>
          <w:color w:val="auto"/>
          <w:sz w:val="32"/>
          <w:szCs w:val="32"/>
        </w:rPr>
        <w:t>2.节水增容推动水生态恢复</w:t>
      </w:r>
    </w:p>
    <w:p>
      <w:pPr>
        <w:spacing w:line="600" w:lineRule="exact"/>
        <w:ind w:firstLine="642" w:firstLineChars="200"/>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保障生态流量。</w:t>
      </w:r>
      <w:r>
        <w:rPr>
          <w:rFonts w:hint="eastAsia" w:ascii="仿宋" w:hAnsi="仿宋" w:eastAsia="仿宋" w:cs="Times New Roman"/>
          <w:color w:val="auto"/>
          <w:sz w:val="32"/>
          <w:szCs w:val="32"/>
          <w:lang w:val="en-US" w:eastAsia="zh-CN"/>
        </w:rPr>
        <w:t>实施节水行动，严格计划用水管理，分行业推进节水示范建设。加强水生态保护修复。在农业面源污染较重水体和水质达不到规划目标的河湖周边，严格落实河湖岸线边界，划定生态缓冲带，强化岸线用途管制。加强河流缓冲带管理，对重要生态空间内不符合保护要求的人类活动进行整治。推进自然湿地修复和综合整治。开展重点河湖水生态调查和监测，因地制宜保护和恢复珍稀濒危水生生物，严格落实禁渔期制度。</w:t>
      </w:r>
    </w:p>
    <w:p>
      <w:pPr>
        <w:spacing w:line="600" w:lineRule="exact"/>
        <w:rPr>
          <w:rFonts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　　</w:t>
      </w:r>
      <w:r>
        <w:rPr>
          <w:rFonts w:hint="eastAsia" w:ascii="CESI仿宋-GB2312" w:hAnsi="CESI仿宋-GB2312" w:eastAsia="CESI仿宋-GB2312" w:cs="CESI仿宋-GB2312"/>
          <w:b/>
          <w:color w:val="auto"/>
          <w:sz w:val="32"/>
          <w:szCs w:val="32"/>
        </w:rPr>
        <w:t>3.加强重点流域生态保护治理</w:t>
      </w:r>
    </w:p>
    <w:p>
      <w:pPr>
        <w:spacing w:line="600" w:lineRule="exact"/>
        <w:ind w:firstLine="642" w:firstLineChars="200"/>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健全流域污染联防联控机制。</w:t>
      </w:r>
      <w:r>
        <w:rPr>
          <w:rFonts w:hint="eastAsia" w:ascii="仿宋" w:hAnsi="仿宋" w:eastAsia="仿宋" w:cs="Times New Roman"/>
          <w:color w:val="auto"/>
          <w:sz w:val="32"/>
          <w:szCs w:val="32"/>
          <w:lang w:val="en-US" w:eastAsia="zh-CN"/>
        </w:rPr>
        <w:t>建立健全流域上下游突发水污染事件联防联控机制，防范重大生态环境风险。加强重点饮用水水源地河流、以及其他敏感水体风险防控。</w:t>
      </w:r>
    </w:p>
    <w:p>
      <w:pPr>
        <w:spacing w:line="600" w:lineRule="exact"/>
        <w:ind w:firstLine="642" w:firstLineChars="200"/>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突出重点流域水生态环境改善。</w:t>
      </w:r>
      <w:r>
        <w:rPr>
          <w:rFonts w:hint="eastAsia" w:ascii="仿宋" w:hAnsi="仿宋" w:eastAsia="仿宋" w:cs="Times New Roman"/>
          <w:color w:val="auto"/>
          <w:sz w:val="32"/>
          <w:szCs w:val="32"/>
          <w:lang w:val="en-US" w:eastAsia="zh-CN"/>
        </w:rPr>
        <w:t>推进城镇生活污水处理厂提标升级改造，加强农村生活污水治理。</w:t>
      </w:r>
    </w:p>
    <w:p>
      <w:pPr>
        <w:spacing w:line="600" w:lineRule="exact"/>
        <w:rPr>
          <w:rFonts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　　</w:t>
      </w:r>
      <w:r>
        <w:rPr>
          <w:rFonts w:hint="eastAsia" w:ascii="CESI仿宋-GB2312" w:hAnsi="CESI仿宋-GB2312" w:eastAsia="CESI仿宋-GB2312" w:cs="CESI仿宋-GB2312"/>
          <w:b/>
          <w:color w:val="auto"/>
          <w:sz w:val="32"/>
          <w:szCs w:val="32"/>
        </w:rPr>
        <w:t>4.持续深化水污染治理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开展重点流域入河排污口排查整治。</w:t>
      </w:r>
      <w:r>
        <w:rPr>
          <w:rFonts w:hint="eastAsia" w:ascii="仿宋" w:hAnsi="仿宋" w:eastAsia="仿宋" w:cs="Times New Roman"/>
          <w:color w:val="auto"/>
          <w:sz w:val="32"/>
          <w:szCs w:val="32"/>
          <w:lang w:val="en-US" w:eastAsia="zh-CN"/>
        </w:rPr>
        <w:t>全面开展团山水库和哈达水库、穆棱河、入河排污口整治工作，按照“取缔一批、规范一批、合并一批”工作原则，分类推进入河排污口规范整治，争取尽快解决排污口超标或不稳定达标问题。</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持续推进工业污染防治。</w:t>
      </w:r>
      <w:r>
        <w:rPr>
          <w:rFonts w:hint="eastAsia" w:ascii="仿宋" w:hAnsi="仿宋" w:eastAsia="仿宋" w:cs="Times New Roman"/>
          <w:color w:val="auto"/>
          <w:sz w:val="32"/>
          <w:szCs w:val="32"/>
          <w:lang w:val="en-US" w:eastAsia="zh-CN"/>
        </w:rPr>
        <w:t>完善工业治理设施，鸡东化工产业园区等按要求建设污水集中处理设施。实现工业园区污水集中处理全覆盖，工业企业污水稳定达标排放。</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color w:val="auto"/>
          <w:sz w:val="32"/>
          <w:szCs w:val="32"/>
        </w:rPr>
      </w:pPr>
      <w:r>
        <w:rPr>
          <w:rFonts w:hint="eastAsia" w:ascii="仿宋" w:hAnsi="仿宋" w:eastAsia="仿宋" w:cs="Times New Roman"/>
          <w:b/>
          <w:bCs/>
          <w:color w:val="auto"/>
          <w:sz w:val="32"/>
          <w:szCs w:val="32"/>
          <w:lang w:val="en-US" w:eastAsia="zh-CN"/>
        </w:rPr>
        <w:t>深入开展城镇生活污水处理设施建设工作。</w:t>
      </w:r>
      <w:r>
        <w:rPr>
          <w:rFonts w:hint="eastAsia" w:ascii="仿宋" w:hAnsi="仿宋" w:eastAsia="仿宋" w:cs="Times New Roman"/>
          <w:color w:val="auto"/>
          <w:sz w:val="32"/>
          <w:szCs w:val="32"/>
          <w:lang w:val="en-US" w:eastAsia="zh-CN"/>
        </w:rPr>
        <w:t>加快补齐城市和县城污水处理能力缺口，加大城镇污水管线建设力度，稳步推进建制镇污水处理设施建设；已建成的城镇污水处理设施，因地制宜升级改造工艺设备，强化脱氮除磷，出水排放达到一级A排放标准。</w:t>
      </w:r>
    </w:p>
    <w:p>
      <w:pPr>
        <w:pStyle w:val="21"/>
        <w:rPr>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楷体" w:hAnsi="楷体" w:eastAsia="楷体" w:cs="仿宋"/>
          <w:b/>
          <w:color w:val="auto"/>
          <w:sz w:val="32"/>
          <w:szCs w:val="32"/>
        </w:rPr>
      </w:pPr>
      <w:r>
        <w:rPr>
          <w:rFonts w:hint="eastAsia" w:ascii="楷体" w:hAnsi="楷体" w:eastAsia="楷体" w:cs="仿宋"/>
          <w:b/>
          <w:color w:val="auto"/>
          <w:sz w:val="32"/>
          <w:szCs w:val="32"/>
        </w:rPr>
        <w:t>（五）保护寒地黑土，维护土壤环境安全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 w:cs="仿宋"/>
          <w:b/>
          <w:color w:val="auto"/>
          <w:sz w:val="32"/>
          <w:szCs w:val="32"/>
        </w:rPr>
      </w:pPr>
      <w:r>
        <w:rPr>
          <w:rFonts w:hint="eastAsia" w:ascii="Times New Roman" w:hAnsi="Times New Roman" w:eastAsia="仿宋" w:cs="仿宋"/>
          <w:b/>
          <w:color w:val="auto"/>
          <w:sz w:val="32"/>
          <w:szCs w:val="32"/>
        </w:rPr>
        <w:t>1</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强化土壤污染源系统防控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　　</w:t>
      </w:r>
      <w:r>
        <w:rPr>
          <w:rFonts w:hint="eastAsia" w:ascii="Times New Roman" w:hAnsi="Times New Roman" w:eastAsia="仿宋" w:cs="仿宋"/>
          <w:b/>
          <w:color w:val="auto"/>
          <w:sz w:val="32"/>
          <w:szCs w:val="32"/>
        </w:rPr>
        <w:t>加强空间布局管控。</w:t>
      </w:r>
      <w:r>
        <w:rPr>
          <w:rFonts w:hint="eastAsia" w:ascii="Times New Roman" w:hAnsi="Times New Roman" w:eastAsia="仿宋" w:cs="仿宋"/>
          <w:color w:val="auto"/>
          <w:sz w:val="32"/>
          <w:szCs w:val="32"/>
        </w:rPr>
        <w:t>永久基本农田集中区禁止规划建设可能造成土壤污染的建设项目。对涉及有毒有害物质可能造成土壤污染的建设项目，依法进行环境影响评价，按规划定提出并落实防腐蚀、防渗漏、防遗撒等土壤污染防治具体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 w:cs="仿宋"/>
          <w:b/>
          <w:color w:val="auto"/>
          <w:sz w:val="32"/>
          <w:szCs w:val="32"/>
        </w:rPr>
      </w:pPr>
      <w:r>
        <w:rPr>
          <w:rFonts w:hint="eastAsia" w:ascii="Times New Roman" w:hAnsi="Times New Roman" w:eastAsia="仿宋" w:cs="仿宋"/>
          <w:color w:val="auto"/>
          <w:sz w:val="32"/>
          <w:szCs w:val="32"/>
        </w:rPr>
        <w:t>　　</w:t>
      </w:r>
      <w:r>
        <w:rPr>
          <w:rFonts w:hint="eastAsia" w:ascii="Times New Roman" w:hAnsi="Times New Roman" w:eastAsia="仿宋" w:cs="仿宋"/>
          <w:b/>
          <w:color w:val="auto"/>
          <w:sz w:val="32"/>
          <w:szCs w:val="32"/>
        </w:rPr>
        <w:t>2</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切实加强农用地生态环境保护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　　</w:t>
      </w:r>
      <w:r>
        <w:rPr>
          <w:rFonts w:hint="eastAsia" w:ascii="Times New Roman" w:hAnsi="Times New Roman" w:eastAsia="仿宋" w:cs="仿宋"/>
          <w:b/>
          <w:color w:val="auto"/>
          <w:sz w:val="32"/>
          <w:szCs w:val="32"/>
        </w:rPr>
        <w:t>保障黑土地资源可持续利用。</w:t>
      </w:r>
      <w:r>
        <w:rPr>
          <w:rFonts w:hint="eastAsia" w:ascii="Times New Roman" w:hAnsi="Times New Roman" w:eastAsia="仿宋" w:cs="仿宋"/>
          <w:color w:val="auto"/>
          <w:sz w:val="32"/>
          <w:szCs w:val="32"/>
        </w:rPr>
        <w:t>开展全</w:t>
      </w:r>
      <w:r>
        <w:rPr>
          <w:rFonts w:hint="eastAsia" w:ascii="Times New Roman" w:hAnsi="Times New Roman" w:eastAsia="仿宋" w:cs="仿宋"/>
          <w:color w:val="auto"/>
          <w:sz w:val="32"/>
          <w:szCs w:val="32"/>
          <w:lang w:eastAsia="zh-CN"/>
        </w:rPr>
        <w:t>县</w:t>
      </w:r>
      <w:r>
        <w:rPr>
          <w:rFonts w:hint="eastAsia" w:ascii="Times New Roman" w:hAnsi="Times New Roman" w:eastAsia="仿宋" w:cs="仿宋"/>
          <w:color w:val="auto"/>
          <w:sz w:val="32"/>
          <w:szCs w:val="32"/>
        </w:rPr>
        <w:t>黑土耕地保护行动，探索建立政府主导、承包者与经营者实施、公众参与的多元化黑土地保护长效机制。探索建立黑土地保护考核机制，压实市县乡村黑土地保护责任。实施耕地质量保护与提升行动，采取工程、农艺、生物等多种措施提高耕地质量，</w:t>
      </w:r>
      <w:r>
        <w:rPr>
          <w:rFonts w:hint="eastAsia" w:ascii="Times New Roman" w:hAnsi="Times New Roman" w:eastAsia="仿宋" w:cs="仿宋"/>
          <w:color w:val="auto"/>
          <w:sz w:val="32"/>
          <w:szCs w:val="32"/>
          <w:lang w:eastAsia="zh-CN"/>
        </w:rPr>
        <w:t>守</w:t>
      </w:r>
      <w:r>
        <w:rPr>
          <w:rFonts w:hint="eastAsia" w:ascii="Times New Roman" w:hAnsi="Times New Roman" w:eastAsia="仿宋" w:cs="仿宋"/>
          <w:color w:val="auto"/>
          <w:sz w:val="32"/>
          <w:szCs w:val="32"/>
        </w:rPr>
        <w:t>护好</w:t>
      </w:r>
      <w:r>
        <w:rPr>
          <w:rFonts w:hint="eastAsia" w:ascii="Times New Roman" w:hAnsi="Times New Roman" w:eastAsia="仿宋" w:cs="仿宋"/>
          <w:color w:val="auto"/>
          <w:sz w:val="32"/>
          <w:szCs w:val="32"/>
          <w:lang w:eastAsia="zh-CN"/>
        </w:rPr>
        <w:t>“</w:t>
      </w:r>
      <w:r>
        <w:rPr>
          <w:rFonts w:hint="eastAsia" w:ascii="Times New Roman" w:hAnsi="Times New Roman" w:eastAsia="仿宋" w:cs="仿宋"/>
          <w:color w:val="auto"/>
          <w:sz w:val="32"/>
          <w:szCs w:val="32"/>
        </w:rPr>
        <w:t>耕地中的大熊猫</w:t>
      </w:r>
      <w:r>
        <w:rPr>
          <w:rFonts w:hint="eastAsia" w:ascii="Times New Roman" w:hAnsi="Times New Roman" w:eastAsia="仿宋" w:cs="仿宋"/>
          <w:color w:val="auto"/>
          <w:sz w:val="32"/>
          <w:szCs w:val="32"/>
          <w:lang w:eastAsia="zh-CN"/>
        </w:rPr>
        <w:t>”</w:t>
      </w:r>
      <w:r>
        <w:rPr>
          <w:rFonts w:hint="eastAsia" w:ascii="Times New Roman" w:hAnsi="Times New Roman" w:eastAsia="仿宋" w:cs="仿宋"/>
          <w:color w:val="auto"/>
          <w:sz w:val="32"/>
          <w:szCs w:val="32"/>
        </w:rPr>
        <w:t>，确保国家粮食安全。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color w:val="auto"/>
          <w:sz w:val="32"/>
          <w:szCs w:val="32"/>
        </w:rPr>
      </w:pPr>
      <w:r>
        <w:rPr>
          <w:rFonts w:hint="eastAsia" w:ascii="Times New Roman" w:hAnsi="Times New Roman" w:eastAsia="仿宋" w:cs="仿宋"/>
          <w:color w:val="auto"/>
          <w:sz w:val="32"/>
          <w:szCs w:val="32"/>
        </w:rPr>
        <w:t>　　</w:t>
      </w:r>
      <w:r>
        <w:rPr>
          <w:rFonts w:hint="eastAsia" w:ascii="Times New Roman" w:hAnsi="Times New Roman" w:eastAsia="仿宋" w:cs="仿宋"/>
          <w:b/>
          <w:color w:val="auto"/>
          <w:sz w:val="32"/>
          <w:szCs w:val="32"/>
        </w:rPr>
        <w:t>巩固提升农用地分类管理。</w:t>
      </w:r>
      <w:r>
        <w:rPr>
          <w:rFonts w:hint="eastAsia" w:ascii="仿宋" w:hAnsi="仿宋" w:eastAsia="仿宋" w:cs="仿宋_GB2312"/>
          <w:color w:val="auto"/>
          <w:sz w:val="32"/>
          <w:szCs w:val="32"/>
        </w:rPr>
        <w:t>严格保护优先保护类耕地，将符合条件的优先保护类耕地划为永久基本农田，确保其面积不减少，土壤环境质量不下降。着力推进安全利用类耕地的管控修复，推广应用品种替代、水肥调控、土壤调理等技术。加强严格管控类耕地风险管控，鼓励采取调整种植结构、轮作休耕等措施，确保严格管控类耕地得到安全利用。动态调整耕地土壤环境质量类别。</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 w:cs="仿宋"/>
          <w:b/>
          <w:color w:val="auto"/>
          <w:sz w:val="32"/>
          <w:szCs w:val="32"/>
        </w:rPr>
      </w:pPr>
      <w:r>
        <w:rPr>
          <w:rFonts w:hint="eastAsia" w:ascii="Times New Roman" w:hAnsi="Times New Roman" w:eastAsia="仿宋" w:cs="仿宋"/>
          <w:color w:val="auto"/>
          <w:sz w:val="32"/>
          <w:szCs w:val="32"/>
        </w:rPr>
        <w:t>　　</w:t>
      </w:r>
      <w:r>
        <w:rPr>
          <w:rFonts w:hint="eastAsia" w:ascii="Times New Roman" w:hAnsi="Times New Roman" w:eastAsia="仿宋" w:cs="仿宋"/>
          <w:b/>
          <w:color w:val="auto"/>
          <w:sz w:val="32"/>
          <w:szCs w:val="32"/>
        </w:rPr>
        <w:t>3</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持续推进建设用地风险管控和治理修复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　　</w:t>
      </w:r>
      <w:r>
        <w:rPr>
          <w:rFonts w:hint="eastAsia" w:ascii="Times New Roman" w:hAnsi="Times New Roman" w:eastAsia="仿宋" w:cs="仿宋"/>
          <w:b/>
          <w:color w:val="auto"/>
          <w:sz w:val="32"/>
          <w:szCs w:val="32"/>
        </w:rPr>
        <w:t>严格建设地块准入管理。</w:t>
      </w:r>
      <w:r>
        <w:rPr>
          <w:rFonts w:hint="eastAsia" w:ascii="Times New Roman" w:hAnsi="Times New Roman" w:eastAsia="仿宋" w:cs="仿宋"/>
          <w:color w:val="auto"/>
          <w:sz w:val="32"/>
          <w:szCs w:val="32"/>
        </w:rPr>
        <w:t xml:space="preserve">实行建设用地土壤污染风险管控和修复名录制度。以用途变更为住宅、公共管理与公共服务用地的地块为重点，依法开展土壤污染状况调查和风险评估。因地制宜严格污染地块准入，合理确定土地开发和使用时序。强化部门信息共享和联动监管，生态环境部门、自然资源和规划部门应及时共享疑似污染地块、污染地块有关信息。 </w:t>
      </w:r>
    </w:p>
    <w:p>
      <w:pPr>
        <w:spacing w:line="600" w:lineRule="exact"/>
        <w:ind w:firstLine="642" w:firstLineChars="200"/>
        <w:rPr>
          <w:rFonts w:ascii="楷体" w:hAnsi="楷体" w:eastAsia="楷体" w:cs="仿宋"/>
          <w:b/>
          <w:color w:val="auto"/>
          <w:sz w:val="32"/>
          <w:szCs w:val="32"/>
        </w:rPr>
      </w:pPr>
      <w:r>
        <w:rPr>
          <w:rFonts w:hint="eastAsia" w:ascii="楷体" w:hAnsi="楷体" w:eastAsia="楷体" w:cs="仿宋"/>
          <w:b/>
          <w:color w:val="auto"/>
          <w:sz w:val="32"/>
          <w:szCs w:val="32"/>
        </w:rPr>
        <w:t>（六）加快农村环境治理，提升人居环境质量</w:t>
      </w:r>
    </w:p>
    <w:p>
      <w:pPr>
        <w:spacing w:line="600" w:lineRule="exact"/>
        <w:ind w:firstLine="642" w:firstLineChars="200"/>
        <w:rPr>
          <w:rFonts w:ascii="仿宋" w:hAnsi="仿宋" w:eastAsia="仿宋" w:cs="仿宋"/>
          <w:color w:val="auto"/>
          <w:sz w:val="32"/>
          <w:szCs w:val="32"/>
        </w:rPr>
      </w:pPr>
      <w:r>
        <w:rPr>
          <w:rFonts w:hint="eastAsia" w:ascii="仿宋" w:hAnsi="仿宋" w:eastAsia="仿宋" w:cs="仿宋"/>
          <w:b/>
          <w:color w:val="auto"/>
          <w:sz w:val="32"/>
          <w:szCs w:val="32"/>
        </w:rPr>
        <w:t>1.深化农业污染防治</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_GB2312"/>
          <w:color w:val="auto"/>
          <w:sz w:val="32"/>
          <w:szCs w:val="32"/>
        </w:rPr>
      </w:pPr>
      <w:r>
        <w:rPr>
          <w:rFonts w:hint="eastAsia" w:ascii="Times New Roman" w:hAnsi="Times New Roman" w:eastAsia="仿宋" w:cs="仿宋"/>
          <w:b/>
          <w:color w:val="auto"/>
          <w:sz w:val="32"/>
          <w:szCs w:val="32"/>
        </w:rPr>
        <w:t>建立健全农业绿色循环低碳生产制度</w:t>
      </w:r>
      <w:r>
        <w:rPr>
          <w:rFonts w:hint="eastAsia" w:ascii="Times New Roman" w:hAnsi="Times New Roman" w:eastAsia="仿宋" w:cs="仿宋"/>
          <w:b/>
          <w:color w:val="auto"/>
          <w:sz w:val="32"/>
          <w:szCs w:val="32"/>
          <w:lang w:eastAsia="zh-CN"/>
        </w:rPr>
        <w:t>。</w:t>
      </w:r>
      <w:r>
        <w:rPr>
          <w:rFonts w:hint="eastAsia" w:ascii="仿宋" w:hAnsi="仿宋" w:eastAsia="仿宋" w:cs="仿宋_GB2312"/>
          <w:color w:val="auto"/>
          <w:sz w:val="32"/>
          <w:szCs w:val="32"/>
        </w:rPr>
        <w:t>推动形成农业绿色生产方式，实现投入品减量化、生产清洁化、废弃物资源化、产业模式生态化。建立农村有机废弃物收集、转化、利用网络体系，推进农林产品加工剩余物资源化利用。发展节水型农业，推广抗旱节水、高产稳产品种，鼓励以循环利用与生态修复相结合的方式治理农田退水。</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_GB2312"/>
          <w:color w:val="auto"/>
          <w:sz w:val="32"/>
          <w:szCs w:val="32"/>
        </w:rPr>
      </w:pPr>
      <w:r>
        <w:rPr>
          <w:rFonts w:hint="eastAsia" w:ascii="Times New Roman" w:hAnsi="Times New Roman" w:eastAsia="仿宋" w:cs="仿宋"/>
          <w:b/>
          <w:color w:val="auto"/>
          <w:sz w:val="32"/>
          <w:szCs w:val="32"/>
        </w:rPr>
        <w:t>推动农业面源污染综合整治。</w:t>
      </w:r>
      <w:r>
        <w:rPr>
          <w:rFonts w:hint="eastAsia" w:ascii="仿宋" w:hAnsi="仿宋" w:eastAsia="仿宋" w:cs="仿宋_GB2312"/>
          <w:color w:val="auto"/>
          <w:sz w:val="32"/>
          <w:szCs w:val="32"/>
        </w:rPr>
        <w:t>加强农业投入品规范化管理，开展化肥、农药单位面积使用量合理控制。改进施肥方式，推广新型肥料，引导农民积造施用有机肥，扩大测土配方施肥技术面积。推进农作物重大病虫统防统治和绿色防控，推广低毒低残留农药，换药械、降药量、减药害。全</w:t>
      </w:r>
      <w:r>
        <w:rPr>
          <w:rFonts w:hint="eastAsia" w:ascii="仿宋" w:hAnsi="仿宋" w:eastAsia="仿宋" w:cs="仿宋_GB2312"/>
          <w:color w:val="auto"/>
          <w:sz w:val="32"/>
          <w:szCs w:val="32"/>
          <w:lang w:eastAsia="zh-CN"/>
        </w:rPr>
        <w:t>县</w:t>
      </w:r>
      <w:r>
        <w:rPr>
          <w:rFonts w:hint="eastAsia" w:ascii="仿宋" w:hAnsi="仿宋" w:eastAsia="仿宋" w:cs="仿宋_GB2312"/>
          <w:color w:val="auto"/>
          <w:sz w:val="32"/>
          <w:szCs w:val="32"/>
        </w:rPr>
        <w:t>主要农作物测土配方施肥技术基本实现全覆盖，化肥、农药利用率分别达到43%和50%。</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_GB2312"/>
          <w:color w:val="auto"/>
          <w:sz w:val="32"/>
          <w:szCs w:val="32"/>
        </w:rPr>
      </w:pPr>
      <w:r>
        <w:rPr>
          <w:rFonts w:hint="eastAsia" w:ascii="Times New Roman" w:hAnsi="Times New Roman" w:eastAsia="仿宋" w:cs="仿宋"/>
          <w:b/>
          <w:color w:val="auto"/>
          <w:sz w:val="32"/>
          <w:szCs w:val="32"/>
        </w:rPr>
        <w:t>加强农膜、农药包装废弃物回收。</w:t>
      </w:r>
      <w:r>
        <w:rPr>
          <w:rFonts w:hint="eastAsia" w:ascii="仿宋" w:hAnsi="仿宋" w:eastAsia="仿宋" w:cs="仿宋_GB2312"/>
          <w:color w:val="auto"/>
          <w:sz w:val="32"/>
          <w:szCs w:val="32"/>
        </w:rPr>
        <w:t>完善废旧农膜、农药包装废弃物等回收处理制度。全面普及标准农膜，示范推广全生物降解膜，推进地膜减量化，推广农膜减量增效技术。强化产销用环节监管，健全完善农膜及农药包装废弃物回收利用体系和长效机制，推动生产者、销售者和使用者落实回收责任。废旧农膜回收率达到88%。</w:t>
      </w:r>
    </w:p>
    <w:p>
      <w:pPr>
        <w:spacing w:line="600" w:lineRule="exact"/>
        <w:ind w:firstLine="642" w:firstLineChars="200"/>
        <w:rPr>
          <w:rFonts w:ascii="Times New Roman" w:hAnsi="Times New Roman" w:eastAsia="仿宋" w:cs="仿宋"/>
          <w:color w:val="auto"/>
          <w:sz w:val="32"/>
          <w:szCs w:val="32"/>
        </w:rPr>
      </w:pPr>
      <w:r>
        <w:rPr>
          <w:rFonts w:hint="eastAsia" w:ascii="仿宋" w:hAnsi="仿宋" w:eastAsia="仿宋" w:cs="仿宋"/>
          <w:b/>
          <w:bCs/>
          <w:color w:val="auto"/>
          <w:sz w:val="32"/>
          <w:szCs w:val="32"/>
        </w:rPr>
        <w:t>2.着力控制养殖业污染</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_GB2312"/>
          <w:color w:val="auto"/>
          <w:sz w:val="32"/>
          <w:szCs w:val="32"/>
        </w:rPr>
      </w:pPr>
      <w:r>
        <w:rPr>
          <w:rFonts w:hint="eastAsia" w:ascii="Times New Roman" w:hAnsi="Times New Roman" w:eastAsia="仿宋" w:cs="仿宋"/>
          <w:b/>
          <w:color w:val="auto"/>
          <w:sz w:val="32"/>
          <w:szCs w:val="32"/>
        </w:rPr>
        <w:t>推广绿色养殖方式。</w:t>
      </w:r>
      <w:r>
        <w:rPr>
          <w:rFonts w:hint="eastAsia" w:ascii="仿宋" w:hAnsi="仿宋" w:eastAsia="仿宋" w:cs="仿宋_GB2312"/>
          <w:color w:val="auto"/>
          <w:sz w:val="32"/>
          <w:szCs w:val="32"/>
        </w:rPr>
        <w:t>推进养殖产业模式生态化，优化调整养殖业空间布局，积极发展生态养殖方式，带动养殖业绿色可持续发展。推广节水、节料等生态养殖工艺和干清粪、微生物发酵等实用技术，实现源头减量。</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_GB2312"/>
          <w:color w:val="auto"/>
          <w:sz w:val="32"/>
          <w:szCs w:val="32"/>
        </w:rPr>
      </w:pPr>
      <w:r>
        <w:rPr>
          <w:rFonts w:hint="eastAsia" w:ascii="Times New Roman" w:hAnsi="Times New Roman" w:eastAsia="仿宋" w:cs="仿宋"/>
          <w:b/>
          <w:color w:val="auto"/>
          <w:sz w:val="32"/>
          <w:szCs w:val="32"/>
        </w:rPr>
        <w:t>加强养殖污染管控。</w:t>
      </w:r>
      <w:r>
        <w:rPr>
          <w:rFonts w:hint="eastAsia" w:ascii="仿宋" w:hAnsi="仿宋" w:eastAsia="仿宋" w:cs="仿宋_GB2312"/>
          <w:color w:val="auto"/>
          <w:sz w:val="32"/>
          <w:szCs w:val="32"/>
        </w:rPr>
        <w:t>推进县域畜禽养殖污染防治，规范畜禽养殖禁养区调整。对设有固定排污口的畜禽规模养殖场实施排污许可制度。严格畜禽规模养殖环境监管执法，将规模以上畜禽养殖场纳入重点污染源管理，确保畜禽粪污处理设施正常运转。</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_GB2312"/>
          <w:color w:val="auto"/>
          <w:sz w:val="32"/>
          <w:szCs w:val="32"/>
        </w:rPr>
      </w:pPr>
      <w:r>
        <w:rPr>
          <w:rFonts w:hint="eastAsia" w:ascii="Times New Roman" w:hAnsi="Times New Roman" w:eastAsia="仿宋" w:cs="仿宋"/>
          <w:b/>
          <w:color w:val="auto"/>
          <w:sz w:val="32"/>
          <w:szCs w:val="32"/>
        </w:rPr>
        <w:t>推进畜禽粪污资源化利用。</w:t>
      </w:r>
      <w:r>
        <w:rPr>
          <w:rFonts w:hint="eastAsia" w:ascii="仿宋" w:hAnsi="仿宋" w:eastAsia="仿宋" w:cs="仿宋_GB2312"/>
          <w:color w:val="auto"/>
          <w:sz w:val="32"/>
          <w:szCs w:val="32"/>
        </w:rPr>
        <w:t>推广粪污就地就近全量还田模式，鼓励和引导第三方处理企业将养殖场（户）畜禽粪污进行专业化集中处理。在散养密集区支持建立粪污集中处理中心。全</w:t>
      </w:r>
      <w:r>
        <w:rPr>
          <w:rFonts w:hint="eastAsia" w:ascii="仿宋" w:hAnsi="仿宋" w:eastAsia="仿宋" w:cs="仿宋_GB2312"/>
          <w:color w:val="auto"/>
          <w:sz w:val="32"/>
          <w:szCs w:val="32"/>
          <w:lang w:eastAsia="zh-CN"/>
        </w:rPr>
        <w:t>县</w:t>
      </w:r>
      <w:r>
        <w:rPr>
          <w:rFonts w:hint="eastAsia" w:ascii="仿宋" w:hAnsi="仿宋" w:eastAsia="仿宋" w:cs="仿宋_GB2312"/>
          <w:color w:val="auto"/>
          <w:sz w:val="32"/>
          <w:szCs w:val="32"/>
        </w:rPr>
        <w:t>畜禽粪污综合利用率达到85%以上，规模养殖场粪污处理设施装备配套率保持在100%。</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3.不断改善农村人居环境</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_GB2312"/>
          <w:color w:val="auto"/>
          <w:sz w:val="32"/>
          <w:szCs w:val="32"/>
        </w:rPr>
      </w:pPr>
      <w:r>
        <w:rPr>
          <w:rFonts w:hint="eastAsia" w:ascii="Times New Roman" w:hAnsi="Times New Roman" w:eastAsia="仿宋" w:cs="仿宋"/>
          <w:b/>
          <w:color w:val="auto"/>
          <w:sz w:val="32"/>
          <w:szCs w:val="32"/>
        </w:rPr>
        <w:t>强化农村生活污水处理。</w:t>
      </w:r>
      <w:r>
        <w:rPr>
          <w:rFonts w:hint="eastAsia" w:ascii="仿宋" w:hAnsi="仿宋" w:eastAsia="仿宋" w:cs="仿宋_GB2312"/>
          <w:color w:val="auto"/>
          <w:sz w:val="32"/>
          <w:szCs w:val="32"/>
        </w:rPr>
        <w:t>统筹实施、梯次推进农村生活污水治理，县域农村生活污水治理专项规划实施全覆盖，加快农村生活污水治理设施建设，加强污水治理和改厕的统筹衔接。开展生活污水源头减量和尾水回收利用。加强农村生活污水收集管网和处理设施建设管理，提高农村生活污水处理设施正常运行率。</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_GB2312"/>
          <w:color w:val="auto"/>
          <w:sz w:val="32"/>
          <w:szCs w:val="32"/>
        </w:rPr>
      </w:pPr>
      <w:r>
        <w:rPr>
          <w:rFonts w:hint="eastAsia" w:ascii="Times New Roman" w:hAnsi="Times New Roman" w:eastAsia="仿宋" w:cs="仿宋"/>
          <w:b/>
          <w:color w:val="auto"/>
          <w:sz w:val="32"/>
          <w:szCs w:val="32"/>
        </w:rPr>
        <w:t>农村黑臭水体治理。</w:t>
      </w:r>
      <w:r>
        <w:rPr>
          <w:rFonts w:hint="eastAsia" w:ascii="仿宋" w:hAnsi="仿宋" w:eastAsia="仿宋" w:cs="仿宋_GB2312"/>
          <w:color w:val="auto"/>
          <w:sz w:val="32"/>
          <w:szCs w:val="32"/>
        </w:rPr>
        <w:t>农村黑臭水体强化动态监管，因河（塘、沟、渠）施策、分区分类、标本兼治。统筹推进农村黑臭水体与农村生活污水、规模以下养殖场（户）畜禽粪污治理和农村改厕等工作。落实污染治理属地责任，推动河湖长制管理体系向小微水体、闭流区泡泽等延伸，实现农村黑臭水体有效治理和长效管护。</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_GB2312"/>
          <w:color w:val="auto"/>
          <w:sz w:val="32"/>
          <w:szCs w:val="32"/>
        </w:rPr>
      </w:pPr>
      <w:r>
        <w:rPr>
          <w:rFonts w:hint="eastAsia" w:ascii="Times New Roman" w:hAnsi="Times New Roman" w:eastAsia="仿宋" w:cs="仿宋"/>
          <w:b/>
          <w:color w:val="auto"/>
          <w:sz w:val="32"/>
          <w:szCs w:val="32"/>
        </w:rPr>
        <w:t>积极推动生活垃圾源头减量。</w:t>
      </w:r>
      <w:r>
        <w:rPr>
          <w:rFonts w:hint="eastAsia" w:ascii="仿宋" w:hAnsi="仿宋" w:eastAsia="仿宋" w:cs="仿宋_GB2312"/>
          <w:color w:val="auto"/>
          <w:sz w:val="32"/>
          <w:szCs w:val="32"/>
        </w:rPr>
        <w:t>推进农村生活垃圾就地分类和资源化利用，加快建立农村垃圾“分类投放、分类收集、分类运输、分类处理”收集处置体系，完善日常管护机制，提升管理水平，确保稳定运行。交通便利且转运距离较近的村庄依托城镇无害化处理设施集中处理，其他村庄就近分散处理。全</w:t>
      </w:r>
      <w:r>
        <w:rPr>
          <w:rFonts w:hint="eastAsia" w:ascii="仿宋" w:hAnsi="仿宋" w:eastAsia="仿宋" w:cs="仿宋_GB2312"/>
          <w:color w:val="auto"/>
          <w:sz w:val="32"/>
          <w:szCs w:val="32"/>
          <w:lang w:eastAsia="zh-CN"/>
        </w:rPr>
        <w:t>县</w:t>
      </w:r>
      <w:r>
        <w:rPr>
          <w:rFonts w:hint="eastAsia" w:ascii="仿宋" w:hAnsi="仿宋" w:eastAsia="仿宋" w:cs="仿宋_GB2312"/>
          <w:color w:val="auto"/>
          <w:sz w:val="32"/>
          <w:szCs w:val="32"/>
        </w:rPr>
        <w:t>行政村生活垃圾回收利用率达到10%，农村生活垃圾无害化处理率达到100%。</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_GB2312"/>
          <w:color w:val="auto"/>
          <w:sz w:val="32"/>
          <w:szCs w:val="32"/>
        </w:rPr>
      </w:pPr>
      <w:r>
        <w:rPr>
          <w:rFonts w:hint="eastAsia" w:ascii="Times New Roman" w:hAnsi="Times New Roman" w:eastAsia="仿宋" w:cs="仿宋"/>
          <w:b/>
          <w:color w:val="auto"/>
          <w:sz w:val="32"/>
          <w:szCs w:val="32"/>
        </w:rPr>
        <w:t>开展美丽乡村建设。</w:t>
      </w:r>
      <w:r>
        <w:rPr>
          <w:rFonts w:hint="eastAsia" w:ascii="仿宋" w:hAnsi="仿宋" w:eastAsia="仿宋" w:cs="仿宋_GB2312"/>
          <w:color w:val="auto"/>
          <w:sz w:val="32"/>
          <w:szCs w:val="32"/>
        </w:rPr>
        <w:t>深入开展农村人居环境整治提升行动，治理公共空间和庭院环境，加大卫生乡镇、美丽庭院创建工作力度。推进农村水系综合整治，对农村沿河垃圾和农业废弃物开展专项整治，实施河塘沟渠清淤疏浚。建设一批美丽乡村示范村，全面推进乡村绿化，综合提升“田水路林村”风貌。</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_GB2312"/>
          <w:color w:val="auto"/>
          <w:sz w:val="32"/>
          <w:szCs w:val="32"/>
        </w:rPr>
      </w:pPr>
      <w:r>
        <w:rPr>
          <w:rFonts w:hint="eastAsia" w:ascii="Times New Roman" w:hAnsi="Times New Roman" w:eastAsia="仿宋" w:cs="仿宋"/>
          <w:b/>
          <w:color w:val="auto"/>
          <w:sz w:val="32"/>
          <w:szCs w:val="32"/>
        </w:rPr>
        <w:t>建立健全农村人居环境长效管护机制。</w:t>
      </w:r>
      <w:r>
        <w:rPr>
          <w:rFonts w:hint="eastAsia" w:ascii="仿宋" w:hAnsi="仿宋" w:eastAsia="仿宋" w:cs="仿宋_GB2312"/>
          <w:color w:val="auto"/>
          <w:sz w:val="32"/>
          <w:szCs w:val="32"/>
        </w:rPr>
        <w:t>明确地方政府和职责部门、运行管理单位责任，基本建立有制度、有标准、有队伍、有经费、有监督的村庄人居环境长效管护机制。严格执行农村人居环境标准规范，鼓励一体化、专业化、市场化建设和运行管护，推行环境治理依效付费制度。依法探索建立农村厕所粪污清掏、农村生活污水垃圾处理农户付费制度。鼓励将村庄环境卫生等要求纳入村规民约。继续开展行政村环境整治工作</w:t>
      </w:r>
      <w:r>
        <w:rPr>
          <w:rFonts w:hint="eastAsia" w:ascii="仿宋" w:hAnsi="仿宋" w:eastAsia="仿宋" w:cs="仿宋_GB2312"/>
          <w:color w:val="auto"/>
          <w:sz w:val="32"/>
          <w:szCs w:val="32"/>
          <w:lang w:eastAsia="zh-CN"/>
        </w:rPr>
        <w:t>完成</w:t>
      </w:r>
      <w:r>
        <w:rPr>
          <w:rFonts w:hint="eastAsia" w:ascii="仿宋" w:hAnsi="仿宋" w:eastAsia="仿宋" w:cs="仿宋_GB2312"/>
          <w:color w:val="auto"/>
          <w:sz w:val="32"/>
          <w:szCs w:val="32"/>
        </w:rPr>
        <w:t>建制村环境综合整治。</w:t>
      </w:r>
    </w:p>
    <w:p>
      <w:pPr>
        <w:spacing w:line="600" w:lineRule="exact"/>
        <w:ind w:firstLine="642" w:firstLineChars="200"/>
        <w:rPr>
          <w:rFonts w:ascii="Times New Roman" w:hAnsi="Times New Roman" w:eastAsia="仿宋" w:cs="仿宋"/>
          <w:color w:val="auto"/>
          <w:sz w:val="32"/>
          <w:szCs w:val="32"/>
        </w:rPr>
      </w:pPr>
      <w:r>
        <w:rPr>
          <w:rFonts w:hint="eastAsia" w:ascii="仿宋" w:hAnsi="仿宋" w:eastAsia="仿宋" w:cs="仿宋"/>
          <w:b/>
          <w:bCs/>
          <w:color w:val="auto"/>
          <w:sz w:val="32"/>
          <w:szCs w:val="32"/>
        </w:rPr>
        <w:t>4.开展农业面源污染监管</w:t>
      </w:r>
    </w:p>
    <w:p>
      <w:pPr>
        <w:spacing w:line="600" w:lineRule="exact"/>
        <w:rPr>
          <w:rFonts w:ascii="楷体" w:hAnsi="楷体" w:eastAsia="楷体" w:cs="仿宋"/>
          <w:b/>
          <w:color w:val="auto"/>
        </w:rPr>
      </w:pPr>
      <w:r>
        <w:rPr>
          <w:rFonts w:hint="eastAsia" w:ascii="Times New Roman" w:hAnsi="Times New Roman" w:eastAsia="仿宋" w:cs="仿宋"/>
          <w:color w:val="auto"/>
          <w:sz w:val="32"/>
          <w:szCs w:val="32"/>
        </w:rPr>
        <w:t>　　规范开展化肥农药使用量调查统计，探索开展农业面源污染调查和建立监测、评估体系。在初步实现农田退水集中排放的基础上，尝试开展水田、旱田灌溉用水及水田退水和分散畜禽养殖面源监测。鼓励大型灌区等有条件的地方先行先试，将规模化农田灌溉退水口纳入环境监管。</w:t>
      </w:r>
      <w:bookmarkEnd w:id="19"/>
      <w:bookmarkStart w:id="20" w:name="_Toc51315597"/>
    </w:p>
    <w:p>
      <w:pPr>
        <w:spacing w:line="600" w:lineRule="exact"/>
        <w:ind w:firstLine="642" w:firstLineChars="200"/>
        <w:rPr>
          <w:rFonts w:hint="eastAsia" w:ascii="楷体" w:hAnsi="楷体" w:eastAsia="楷体" w:cs="仿宋"/>
          <w:b/>
          <w:color w:val="auto"/>
          <w:sz w:val="32"/>
          <w:szCs w:val="32"/>
        </w:rPr>
      </w:pPr>
      <w:r>
        <w:rPr>
          <w:rFonts w:hint="eastAsia" w:ascii="楷体" w:hAnsi="楷体" w:eastAsia="楷体" w:cs="仿宋"/>
          <w:b/>
          <w:color w:val="auto"/>
          <w:sz w:val="32"/>
          <w:szCs w:val="32"/>
        </w:rPr>
        <w:t>（七）实施生态系统保护修复，构筑绿色安全生态屏障</w:t>
      </w:r>
      <w:bookmarkEnd w:id="20"/>
    </w:p>
    <w:p>
      <w:pPr>
        <w:snapToGrid w:val="0"/>
        <w:spacing w:line="600" w:lineRule="exact"/>
        <w:ind w:firstLine="642" w:firstLineChars="200"/>
        <w:jc w:val="left"/>
        <w:rPr>
          <w:rFonts w:ascii="仿宋" w:hAnsi="仿宋" w:eastAsia="仿宋" w:cs="宋体"/>
          <w:bCs/>
          <w:color w:val="auto"/>
          <w:sz w:val="32"/>
          <w:szCs w:val="32"/>
        </w:rPr>
      </w:pPr>
      <w:r>
        <w:rPr>
          <w:rFonts w:hint="eastAsia" w:ascii="仿宋" w:hAnsi="仿宋" w:eastAsia="仿宋" w:cs="宋体"/>
          <w:b/>
          <w:bCs/>
          <w:color w:val="auto"/>
          <w:sz w:val="32"/>
          <w:szCs w:val="32"/>
        </w:rPr>
        <w:t>1.深入推进生态示范创建</w:t>
      </w:r>
    </w:p>
    <w:p>
      <w:pPr>
        <w:snapToGrid w:val="0"/>
        <w:spacing w:line="60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全面开展生态示范创建工作，促进经济社会和生态环境协调发展、改善环境质量、提高全民生态意识等方面的重要引领作用。鼓励动员生态旅游、生态农业和经济发展较好的区域率先开展“绿水青山就是金山银山”实践创新基地创建工作。全面加强政策宣传引导、技术支撑保障、跟踪指导服务等工作。</w:t>
      </w:r>
    </w:p>
    <w:p>
      <w:pPr>
        <w:snapToGrid w:val="0"/>
        <w:spacing w:line="600" w:lineRule="exact"/>
        <w:ind w:firstLine="642" w:firstLineChars="200"/>
        <w:jc w:val="left"/>
        <w:rPr>
          <w:rFonts w:ascii="仿宋" w:hAnsi="仿宋" w:eastAsia="仿宋" w:cs="仿宋"/>
          <w:b/>
          <w:color w:val="auto"/>
          <w:sz w:val="32"/>
          <w:szCs w:val="32"/>
        </w:rPr>
      </w:pPr>
      <w:r>
        <w:rPr>
          <w:rFonts w:hint="eastAsia" w:ascii="仿宋" w:hAnsi="仿宋" w:eastAsia="仿宋" w:cs="仿宋"/>
          <w:b/>
          <w:color w:val="auto"/>
          <w:sz w:val="32"/>
          <w:szCs w:val="32"/>
        </w:rPr>
        <w:t>2.构建生态保护和修复新格局</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jc w:val="left"/>
        <w:textAlignment w:val="auto"/>
        <w:rPr>
          <w:rFonts w:ascii="仿宋" w:hAnsi="仿宋" w:eastAsia="仿宋" w:cs="仿宋"/>
          <w:color w:val="auto"/>
          <w:sz w:val="32"/>
          <w:szCs w:val="32"/>
        </w:rPr>
      </w:pPr>
      <w:r>
        <w:rPr>
          <w:rFonts w:hint="default" w:ascii="仿宋" w:hAnsi="仿宋" w:eastAsia="仿宋" w:cs="仿宋"/>
          <w:b/>
          <w:color w:val="auto"/>
          <w:sz w:val="32"/>
          <w:szCs w:val="32"/>
        </w:rPr>
        <w:t>坚持</w:t>
      </w:r>
      <w:r>
        <w:rPr>
          <w:rFonts w:hint="eastAsia" w:ascii="仿宋" w:hAnsi="仿宋" w:eastAsia="仿宋" w:cs="仿宋"/>
          <w:b/>
          <w:color w:val="auto"/>
          <w:sz w:val="32"/>
          <w:szCs w:val="32"/>
        </w:rPr>
        <w:t>贯彻主体功能区战略</w:t>
      </w:r>
      <w:r>
        <w:rPr>
          <w:rFonts w:hint="default" w:ascii="仿宋" w:hAnsi="仿宋" w:eastAsia="仿宋" w:cs="仿宋"/>
          <w:b/>
          <w:color w:val="auto"/>
          <w:sz w:val="32"/>
          <w:szCs w:val="32"/>
        </w:rPr>
        <w:t>。</w:t>
      </w:r>
      <w:r>
        <w:rPr>
          <w:rFonts w:hint="eastAsia" w:ascii="仿宋" w:hAnsi="仿宋" w:eastAsia="仿宋" w:cs="仿宋"/>
          <w:color w:val="auto"/>
          <w:sz w:val="32"/>
          <w:szCs w:val="32"/>
        </w:rPr>
        <w:t>落实国土空间规划，合理安排造林绿化用地，以国家重点生态功能区、生态保护红线、国家级自然保护地等为重点，全面推进天然林保护、退化林修复、森林防灭火和湿地修复，促进生态系统质量和功能提升，建设绿色生态安全屏障。推进形成生态保护和修复新格局。</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Times New Roman" w:hAnsi="Times New Roman" w:eastAsia="仿宋" w:cs="仿宋"/>
          <w:color w:val="auto"/>
          <w:sz w:val="32"/>
          <w:szCs w:val="32"/>
        </w:rPr>
      </w:pPr>
      <w:r>
        <w:rPr>
          <w:rFonts w:hint="eastAsia" w:ascii="仿宋" w:hAnsi="仿宋" w:eastAsia="仿宋" w:cs="仿宋"/>
          <w:b/>
          <w:color w:val="auto"/>
          <w:sz w:val="32"/>
          <w:szCs w:val="32"/>
        </w:rPr>
        <w:t>坚持“绿水青山就是金山银山”的发展理念</w:t>
      </w:r>
      <w:r>
        <w:rPr>
          <w:rFonts w:hint="default" w:ascii="仿宋" w:hAnsi="仿宋" w:eastAsia="仿宋" w:cs="仿宋"/>
          <w:b/>
          <w:color w:val="auto"/>
          <w:sz w:val="32"/>
          <w:szCs w:val="32"/>
        </w:rPr>
        <w:t>。</w:t>
      </w:r>
      <w:r>
        <w:rPr>
          <w:rFonts w:hint="eastAsia" w:ascii="仿宋" w:hAnsi="仿宋" w:eastAsia="仿宋" w:cs="仿宋"/>
          <w:color w:val="auto"/>
          <w:sz w:val="32"/>
          <w:szCs w:val="32"/>
        </w:rPr>
        <w:t>统筹推进山水林田湖草沙冰一体化保护和修复。全面加强天然林保护，开展大规模国土绿化行动，推行林长制。继续推进重点防护林体系建设，</w:t>
      </w:r>
      <w:r>
        <w:rPr>
          <w:rFonts w:hint="eastAsia" w:ascii="仿宋" w:hAnsi="仿宋" w:eastAsia="仿宋" w:cs="宋体"/>
          <w:color w:val="auto"/>
          <w:sz w:val="32"/>
          <w:szCs w:val="32"/>
        </w:rPr>
        <w:t>不断加强国土绿化</w:t>
      </w:r>
      <w:r>
        <w:rPr>
          <w:rFonts w:hint="eastAsia" w:ascii="仿宋" w:hAnsi="仿宋" w:eastAsia="仿宋" w:cs="仿宋"/>
          <w:color w:val="auto"/>
          <w:sz w:val="32"/>
          <w:szCs w:val="32"/>
        </w:rPr>
        <w:t>坚持自然恢复为主，</w:t>
      </w:r>
      <w:r>
        <w:rPr>
          <w:rFonts w:hint="eastAsia" w:ascii="仿宋" w:hAnsi="仿宋" w:eastAsia="仿宋" w:cs="宋体"/>
          <w:color w:val="auto"/>
          <w:sz w:val="32"/>
          <w:szCs w:val="32"/>
        </w:rPr>
        <w:t>进一步加大草原生态保护，有效推进自然资源保护力度</w:t>
      </w:r>
      <w:r>
        <w:rPr>
          <w:rFonts w:hint="eastAsia" w:ascii="仿宋" w:hAnsi="仿宋" w:eastAsia="仿宋" w:cs="仿宋"/>
          <w:color w:val="auto"/>
          <w:sz w:val="32"/>
          <w:szCs w:val="32"/>
        </w:rPr>
        <w:t>。推进绿色矿山建设。</w:t>
      </w:r>
      <w:r>
        <w:rPr>
          <w:rFonts w:hint="eastAsia" w:ascii="仿宋" w:hAnsi="仿宋" w:eastAsia="仿宋" w:cs="宋体"/>
          <w:bCs/>
          <w:color w:val="auto"/>
          <w:sz w:val="32"/>
          <w:szCs w:val="32"/>
        </w:rPr>
        <w:t>力争完成全</w:t>
      </w:r>
      <w:r>
        <w:rPr>
          <w:rFonts w:hint="eastAsia" w:ascii="仿宋" w:hAnsi="仿宋" w:eastAsia="仿宋" w:cs="宋体"/>
          <w:bCs/>
          <w:color w:val="auto"/>
          <w:sz w:val="32"/>
          <w:szCs w:val="32"/>
          <w:lang w:eastAsia="zh-CN"/>
        </w:rPr>
        <w:t>县</w:t>
      </w:r>
      <w:r>
        <w:rPr>
          <w:rFonts w:hint="eastAsia" w:ascii="仿宋" w:hAnsi="仿宋" w:eastAsia="仿宋" w:cs="宋体"/>
          <w:bCs/>
          <w:color w:val="auto"/>
          <w:sz w:val="32"/>
          <w:szCs w:val="32"/>
        </w:rPr>
        <w:t>主体灭失非煤露天矿山修复治理任务</w:t>
      </w:r>
      <w:r>
        <w:rPr>
          <w:rFonts w:hint="eastAsia" w:ascii="仿宋" w:hAnsi="仿宋" w:eastAsia="仿宋" w:cs="仿宋"/>
          <w:bCs/>
          <w:color w:val="auto"/>
          <w:sz w:val="32"/>
          <w:szCs w:val="32"/>
        </w:rPr>
        <w:t>，</w:t>
      </w:r>
      <w:r>
        <w:rPr>
          <w:rFonts w:hint="eastAsia" w:ascii="仿宋" w:hAnsi="仿宋" w:eastAsia="仿宋" w:cs="宋体"/>
          <w:bCs/>
          <w:color w:val="auto"/>
          <w:sz w:val="32"/>
          <w:szCs w:val="32"/>
        </w:rPr>
        <w:t>全</w:t>
      </w:r>
      <w:r>
        <w:rPr>
          <w:rFonts w:hint="eastAsia" w:ascii="仿宋" w:hAnsi="仿宋" w:eastAsia="仿宋" w:cs="宋体"/>
          <w:bCs/>
          <w:color w:val="auto"/>
          <w:sz w:val="32"/>
          <w:szCs w:val="32"/>
          <w:lang w:eastAsia="zh-CN"/>
        </w:rPr>
        <w:t>县</w:t>
      </w:r>
      <w:r>
        <w:rPr>
          <w:rFonts w:hint="eastAsia" w:ascii="仿宋" w:hAnsi="仿宋" w:eastAsia="仿宋" w:cs="宋体"/>
          <w:bCs/>
          <w:color w:val="auto"/>
          <w:sz w:val="32"/>
          <w:szCs w:val="32"/>
        </w:rPr>
        <w:t>森林覆盖率达到</w:t>
      </w:r>
      <w:r>
        <w:rPr>
          <w:rFonts w:hint="eastAsia" w:ascii="仿宋" w:hAnsi="仿宋" w:eastAsia="仿宋" w:cs="宋体"/>
          <w:bCs/>
          <w:color w:val="auto"/>
          <w:sz w:val="32"/>
          <w:szCs w:val="32"/>
          <w:lang w:val="en-US" w:eastAsia="zh-CN"/>
        </w:rPr>
        <w:t>45.7</w:t>
      </w:r>
      <w:r>
        <w:rPr>
          <w:rFonts w:hint="eastAsia" w:ascii="仿宋" w:hAnsi="仿宋" w:eastAsia="仿宋" w:cs="宋体"/>
          <w:bCs/>
          <w:color w:val="auto"/>
          <w:sz w:val="32"/>
          <w:szCs w:val="32"/>
        </w:rPr>
        <w:t>%；草原综合植被盖度稳定在75%以上</w:t>
      </w:r>
      <w:r>
        <w:rPr>
          <w:rFonts w:hint="eastAsia" w:ascii="仿宋" w:hAnsi="仿宋" w:eastAsia="仿宋" w:cs="宋体"/>
          <w:color w:val="auto"/>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 w:hAnsi="仿宋" w:eastAsia="仿宋" w:cs="仿宋"/>
          <w:color w:val="auto"/>
          <w:sz w:val="32"/>
          <w:szCs w:val="32"/>
        </w:rPr>
      </w:pPr>
      <w:r>
        <w:rPr>
          <w:rFonts w:hint="eastAsia" w:ascii="仿宋" w:hAnsi="仿宋" w:eastAsia="仿宋" w:cs="仿宋"/>
          <w:b/>
          <w:color w:val="auto"/>
          <w:sz w:val="32"/>
          <w:szCs w:val="32"/>
        </w:rPr>
        <w:t>加强城市生态功能修复。</w:t>
      </w:r>
      <w:r>
        <w:rPr>
          <w:rFonts w:hint="eastAsia" w:ascii="仿宋" w:hAnsi="仿宋" w:eastAsia="仿宋" w:cs="仿宋"/>
          <w:color w:val="auto"/>
          <w:sz w:val="32"/>
          <w:szCs w:val="32"/>
        </w:rPr>
        <w:t>科学规划布局城市绿环绿廊绿楔绿道，加强城市公园绿地、区域绿地和防护绿地等建设，完善城市绿地体系。加强对</w:t>
      </w:r>
      <w:r>
        <w:rPr>
          <w:rFonts w:hint="eastAsia" w:ascii="仿宋" w:hAnsi="仿宋" w:eastAsia="仿宋" w:cs="宋体"/>
          <w:color w:val="auto"/>
          <w:sz w:val="32"/>
          <w:szCs w:val="32"/>
        </w:rPr>
        <w:t>城市山体河湖等自然风貌的保护，实施城市江河、湖泊、湿地等水体治理和生态修复，恢复和保持河湖水系的自然连通和流动性。建成区绿地率达到36.5%。</w:t>
      </w:r>
    </w:p>
    <w:p>
      <w:pPr>
        <w:spacing w:line="600" w:lineRule="exact"/>
        <w:ind w:firstLine="642" w:firstLineChars="200"/>
        <w:rPr>
          <w:rFonts w:ascii="仿宋" w:hAnsi="仿宋" w:eastAsia="仿宋" w:cs="仿宋"/>
          <w:color w:val="auto"/>
          <w:sz w:val="32"/>
          <w:szCs w:val="32"/>
        </w:rPr>
      </w:pPr>
      <w:r>
        <w:rPr>
          <w:rFonts w:hint="eastAsia" w:ascii="仿宋" w:hAnsi="仿宋" w:eastAsia="仿宋" w:cs="MingLiU_HKSCS"/>
          <w:b/>
          <w:color w:val="auto"/>
          <w:sz w:val="32"/>
          <w:szCs w:val="32"/>
        </w:rPr>
        <w:t>3.</w:t>
      </w:r>
      <w:r>
        <w:rPr>
          <w:rFonts w:hint="eastAsia" w:ascii="仿宋" w:hAnsi="仿宋" w:eastAsia="仿宋" w:cs="仿宋"/>
          <w:b/>
          <w:color w:val="auto"/>
          <w:sz w:val="32"/>
          <w:szCs w:val="32"/>
        </w:rPr>
        <w:t>加强重要生态系统保护监管</w:t>
      </w:r>
    </w:p>
    <w:p>
      <w:pPr>
        <w:spacing w:line="600" w:lineRule="exact"/>
        <w:ind w:firstLine="642" w:firstLineChars="200"/>
        <w:rPr>
          <w:rFonts w:ascii="仿宋" w:hAnsi="仿宋" w:eastAsia="仿宋" w:cs="宋体"/>
          <w:color w:val="auto"/>
          <w:sz w:val="32"/>
          <w:szCs w:val="32"/>
        </w:rPr>
      </w:pPr>
      <w:r>
        <w:rPr>
          <w:rFonts w:hint="default" w:ascii="仿宋" w:hAnsi="仿宋" w:eastAsia="仿宋" w:cs="宋体"/>
          <w:b/>
          <w:bCs/>
          <w:color w:val="auto"/>
          <w:sz w:val="32"/>
          <w:szCs w:val="32"/>
        </w:rPr>
        <w:t>加强空间规划和国土开发保护工作。</w:t>
      </w:r>
      <w:r>
        <w:rPr>
          <w:rFonts w:hint="eastAsia" w:ascii="仿宋" w:hAnsi="仿宋" w:eastAsia="仿宋" w:cs="宋体"/>
          <w:color w:val="auto"/>
          <w:sz w:val="32"/>
          <w:szCs w:val="32"/>
        </w:rPr>
        <w:t>建立统一的空间规划体系和协调有序的国土开发保护格局</w:t>
      </w:r>
      <w:r>
        <w:rPr>
          <w:rFonts w:hint="default" w:ascii="仿宋" w:hAnsi="仿宋" w:eastAsia="仿宋" w:cs="宋体"/>
          <w:color w:val="auto"/>
          <w:sz w:val="32"/>
          <w:szCs w:val="32"/>
        </w:rPr>
        <w:t>，</w:t>
      </w:r>
      <w:r>
        <w:rPr>
          <w:rFonts w:hint="eastAsia" w:ascii="仿宋" w:hAnsi="仿宋" w:eastAsia="仿宋" w:cs="宋体"/>
          <w:color w:val="auto"/>
          <w:sz w:val="32"/>
          <w:szCs w:val="32"/>
        </w:rPr>
        <w:t>严守生态保护红线，完成生态保护红线</w:t>
      </w:r>
      <w:r>
        <w:rPr>
          <w:rFonts w:hint="eastAsia" w:ascii="仿宋" w:hAnsi="仿宋" w:eastAsia="仿宋" w:cs="宋体"/>
          <w:color w:val="auto"/>
          <w:sz w:val="32"/>
          <w:szCs w:val="32"/>
          <w:lang w:eastAsia="zh-CN"/>
        </w:rPr>
        <w:t>划定</w:t>
      </w:r>
      <w:r>
        <w:rPr>
          <w:rFonts w:hint="eastAsia" w:ascii="仿宋" w:hAnsi="仿宋" w:eastAsia="仿宋" w:cs="宋体"/>
          <w:color w:val="auto"/>
          <w:sz w:val="32"/>
          <w:szCs w:val="32"/>
        </w:rPr>
        <w:t>。按照国家部署，积极配合开展全</w:t>
      </w:r>
      <w:r>
        <w:rPr>
          <w:rFonts w:hint="eastAsia" w:ascii="仿宋" w:hAnsi="仿宋" w:eastAsia="仿宋" w:cs="宋体"/>
          <w:color w:val="auto"/>
          <w:sz w:val="32"/>
          <w:szCs w:val="32"/>
          <w:lang w:eastAsia="zh-CN"/>
        </w:rPr>
        <w:t>县</w:t>
      </w:r>
      <w:r>
        <w:rPr>
          <w:rFonts w:hint="eastAsia" w:ascii="仿宋" w:hAnsi="仿宋" w:eastAsia="仿宋" w:cs="宋体"/>
          <w:color w:val="auto"/>
          <w:sz w:val="32"/>
          <w:szCs w:val="32"/>
        </w:rPr>
        <w:t>生态保护红线勘界定标工作，开展生态保护红线本地调查、生态功能评价、生态保护成效评估和生态红线监管工作。</w:t>
      </w:r>
    </w:p>
    <w:p>
      <w:pPr>
        <w:spacing w:line="600" w:lineRule="exact"/>
        <w:ind w:firstLine="642" w:firstLineChars="200"/>
        <w:rPr>
          <w:rFonts w:ascii="仿宋" w:hAnsi="仿宋" w:eastAsia="仿宋" w:cs="仿宋"/>
          <w:color w:val="auto"/>
          <w:sz w:val="32"/>
          <w:szCs w:val="32"/>
        </w:rPr>
      </w:pPr>
      <w:r>
        <w:rPr>
          <w:rFonts w:hint="eastAsia" w:ascii="仿宋" w:hAnsi="仿宋" w:eastAsia="仿宋" w:cs="宋体"/>
          <w:b/>
          <w:bCs/>
          <w:color w:val="auto"/>
          <w:sz w:val="32"/>
          <w:szCs w:val="32"/>
        </w:rPr>
        <w:t>完善自然生态监管机制。</w:t>
      </w:r>
      <w:r>
        <w:rPr>
          <w:rFonts w:hint="eastAsia" w:ascii="仿宋" w:hAnsi="仿宋" w:eastAsia="仿宋" w:cs="仿宋"/>
          <w:color w:val="auto"/>
          <w:sz w:val="32"/>
          <w:szCs w:val="32"/>
        </w:rPr>
        <w:t>全面加强生态保护红线和自然保护地生态环境监管，推动建立健全生态保护红线和自然保护地监管制度和监管体系，深入推进“绿盾”自然保护地强化监督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完善生态破坏问题监管工作机制。通过生态保护红线监管平台实现与国家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省生态保护红线监管平台互联互通。</w:t>
      </w:r>
    </w:p>
    <w:p>
      <w:pPr>
        <w:spacing w:line="600" w:lineRule="exact"/>
        <w:ind w:firstLine="642" w:firstLineChars="200"/>
        <w:rPr>
          <w:rFonts w:ascii="仿宋" w:hAnsi="仿宋" w:eastAsia="仿宋" w:cs="仿宋"/>
          <w:color w:val="auto"/>
          <w:sz w:val="32"/>
          <w:szCs w:val="32"/>
        </w:rPr>
      </w:pPr>
      <w:r>
        <w:rPr>
          <w:rFonts w:hint="eastAsia" w:ascii="仿宋" w:hAnsi="仿宋" w:eastAsia="仿宋" w:cs="宋体"/>
          <w:b/>
          <w:bCs/>
          <w:color w:val="auto"/>
          <w:sz w:val="32"/>
          <w:szCs w:val="32"/>
        </w:rPr>
        <w:t>加强生态保护监督、执法、司法保护力度。</w:t>
      </w:r>
      <w:r>
        <w:rPr>
          <w:rFonts w:hint="eastAsia" w:ascii="仿宋" w:hAnsi="仿宋" w:eastAsia="仿宋" w:cs="仿宋"/>
          <w:color w:val="auto"/>
          <w:sz w:val="32"/>
          <w:szCs w:val="32"/>
        </w:rPr>
        <w:t>依法统一开展生态环境保护执法，强化与自然资源、水利、林业、司法等相关部门协同配合，加强行政执法与刑事司法、检察公益诉讼的衔接。严肃查处自然保护地内破坏生态环境的违法违规行为，严厉打击犯罪行为。</w:t>
      </w:r>
    </w:p>
    <w:p>
      <w:pPr>
        <w:spacing w:line="600" w:lineRule="exact"/>
        <w:ind w:firstLine="642" w:firstLineChars="200"/>
        <w:rPr>
          <w:rFonts w:ascii="仿宋" w:hAnsi="仿宋" w:eastAsia="仿宋" w:cs="宋体"/>
          <w:b/>
          <w:bCs/>
          <w:color w:val="auto"/>
          <w:sz w:val="32"/>
          <w:szCs w:val="32"/>
        </w:rPr>
      </w:pPr>
      <w:r>
        <w:rPr>
          <w:rFonts w:hint="eastAsia" w:ascii="仿宋" w:hAnsi="仿宋" w:eastAsia="仿宋" w:cs="宋体"/>
          <w:b/>
          <w:bCs/>
          <w:color w:val="auto"/>
          <w:sz w:val="32"/>
          <w:szCs w:val="32"/>
        </w:rPr>
        <w:t>4.加强生物多样性和种质资源保护</w:t>
      </w:r>
    </w:p>
    <w:p>
      <w:pPr>
        <w:spacing w:line="600" w:lineRule="exact"/>
        <w:ind w:firstLine="642" w:firstLineChars="200"/>
        <w:rPr>
          <w:rFonts w:ascii="仿宋" w:hAnsi="仿宋" w:eastAsia="仿宋" w:cs="仿宋"/>
          <w:color w:val="auto"/>
          <w:sz w:val="32"/>
          <w:szCs w:val="32"/>
        </w:rPr>
      </w:pPr>
      <w:r>
        <w:rPr>
          <w:rFonts w:hint="default" w:ascii="仿宋" w:hAnsi="仿宋" w:eastAsia="仿宋" w:cs="宋体"/>
          <w:b/>
          <w:bCs/>
          <w:color w:val="auto"/>
          <w:sz w:val="32"/>
          <w:szCs w:val="32"/>
        </w:rPr>
        <w:t>加强生物多样性保护工作。</w:t>
      </w:r>
      <w:r>
        <w:rPr>
          <w:rFonts w:hint="eastAsia" w:ascii="仿宋" w:hAnsi="仿宋" w:eastAsia="仿宋" w:cs="宋体"/>
          <w:color w:val="auto"/>
          <w:sz w:val="32"/>
          <w:szCs w:val="32"/>
        </w:rPr>
        <w:t>提升生物多样性和生物物种资源保护监管能力，促进人与自然和谐发展。</w:t>
      </w:r>
      <w:r>
        <w:rPr>
          <w:rFonts w:hint="eastAsia" w:ascii="仿宋" w:hAnsi="仿宋" w:eastAsia="仿宋" w:cs="仿宋"/>
          <w:color w:val="auto"/>
          <w:sz w:val="32"/>
          <w:szCs w:val="32"/>
        </w:rPr>
        <w:t>强化就地保护，加强野生动植物种群及其栖息地生态环境保护。加强野生动植物保护监督，全面禁止非法交易野生动物。</w:t>
      </w:r>
    </w:p>
    <w:p>
      <w:pPr>
        <w:spacing w:line="600" w:lineRule="exact"/>
        <w:ind w:firstLine="642" w:firstLineChars="200"/>
        <w:rPr>
          <w:rFonts w:ascii="仿宋" w:hAnsi="仿宋" w:eastAsia="仿宋" w:cs="仿宋"/>
          <w:b/>
          <w:color w:val="auto"/>
          <w:sz w:val="32"/>
          <w:szCs w:val="32"/>
        </w:rPr>
      </w:pPr>
      <w:r>
        <w:rPr>
          <w:rFonts w:hint="eastAsia" w:ascii="仿宋" w:hAnsi="仿宋" w:eastAsia="仿宋" w:cs="宋体"/>
          <w:b/>
          <w:bCs/>
          <w:color w:val="auto"/>
          <w:sz w:val="32"/>
          <w:szCs w:val="32"/>
        </w:rPr>
        <w:t>加强野生花卉种质和药用植物及野生动植物保护力度。</w:t>
      </w:r>
      <w:r>
        <w:rPr>
          <w:rFonts w:hint="eastAsia" w:ascii="仿宋" w:hAnsi="仿宋" w:eastAsia="仿宋" w:cs="仿宋"/>
          <w:color w:val="auto"/>
          <w:sz w:val="32"/>
          <w:szCs w:val="32"/>
        </w:rPr>
        <w:t>加强种质资源共享，开展重要生物遗传资源保护成效评估。强化松材线虫、美国白蛾等外来入侵物种</w:t>
      </w:r>
      <w:r>
        <w:rPr>
          <w:rFonts w:hint="eastAsia" w:ascii="仿宋" w:hAnsi="仿宋" w:eastAsia="仿宋" w:cs="仿宋"/>
          <w:color w:val="auto"/>
          <w:sz w:val="32"/>
          <w:szCs w:val="32"/>
          <w:lang w:eastAsia="zh-CN"/>
        </w:rPr>
        <w:t>防控</w:t>
      </w:r>
      <w:r>
        <w:rPr>
          <w:rFonts w:hint="eastAsia" w:ascii="仿宋" w:hAnsi="仿宋" w:eastAsia="仿宋" w:cs="仿宋"/>
          <w:color w:val="auto"/>
          <w:sz w:val="32"/>
          <w:szCs w:val="32"/>
        </w:rPr>
        <w:t>。</w:t>
      </w:r>
    </w:p>
    <w:p>
      <w:pPr>
        <w:spacing w:line="600" w:lineRule="exact"/>
        <w:ind w:firstLine="642" w:firstLineChars="200"/>
        <w:rPr>
          <w:rFonts w:ascii="楷体" w:hAnsi="楷体" w:eastAsia="楷体" w:cs="仿宋"/>
          <w:b/>
          <w:color w:val="auto"/>
          <w:sz w:val="32"/>
          <w:szCs w:val="32"/>
        </w:rPr>
      </w:pPr>
      <w:bookmarkStart w:id="21" w:name="_Toc51315599"/>
      <w:r>
        <w:rPr>
          <w:rFonts w:hint="eastAsia" w:ascii="楷体" w:hAnsi="楷体" w:eastAsia="楷体" w:cs="仿宋"/>
          <w:b/>
          <w:color w:val="auto"/>
          <w:sz w:val="32"/>
          <w:szCs w:val="32"/>
        </w:rPr>
        <w:t>（八）严密防控风险，守住生态环境底线</w:t>
      </w:r>
    </w:p>
    <w:p>
      <w:pPr>
        <w:spacing w:line="600" w:lineRule="exact"/>
        <w:ind w:firstLine="642"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1.加强危险废物监管和重金属污染环境防控</w:t>
      </w:r>
    </w:p>
    <w:p>
      <w:pPr>
        <w:spacing w:line="600" w:lineRule="exact"/>
        <w:ind w:firstLine="642" w:firstLineChars="200"/>
        <w:rPr>
          <w:rFonts w:hint="eastAsia" w:ascii="仿宋" w:hAnsi="仿宋" w:eastAsia="仿宋" w:cs="宋体"/>
          <w:color w:val="auto"/>
          <w:sz w:val="32"/>
          <w:szCs w:val="32"/>
        </w:rPr>
      </w:pPr>
      <w:r>
        <w:rPr>
          <w:rFonts w:hint="eastAsia" w:ascii="仿宋" w:hAnsi="仿宋" w:eastAsia="仿宋" w:cs="仿宋"/>
          <w:b/>
          <w:color w:val="auto"/>
          <w:sz w:val="32"/>
          <w:szCs w:val="32"/>
        </w:rPr>
        <w:t>强化危险废物环境监管。</w:t>
      </w:r>
      <w:r>
        <w:rPr>
          <w:rFonts w:hint="eastAsia" w:ascii="仿宋" w:hAnsi="仿宋" w:eastAsia="仿宋" w:cs="宋体"/>
          <w:color w:val="auto"/>
          <w:sz w:val="32"/>
          <w:szCs w:val="32"/>
        </w:rPr>
        <w:t>落实危险废物申报登记和转移电子联单制度，建立危险废物重点监管清单，推进废铅蓄电池收集贮存转运试点，形成覆盖危险废物产生、收集、贮存、转移、运输、利用、处置等全过程的监管体系。开展危险废物规范化环境管理评估，提升危险废物环境监管能力和信息化监管水平，依法严厉打击危险废物环境违法犯罪行为。</w:t>
      </w:r>
    </w:p>
    <w:p>
      <w:pPr>
        <w:spacing w:line="600" w:lineRule="exact"/>
        <w:ind w:firstLine="642" w:firstLineChars="200"/>
        <w:rPr>
          <w:rFonts w:hint="eastAsia" w:ascii="仿宋" w:hAnsi="仿宋" w:eastAsia="仿宋" w:cs="宋体"/>
          <w:color w:val="auto"/>
          <w:sz w:val="32"/>
          <w:szCs w:val="32"/>
        </w:rPr>
      </w:pPr>
      <w:r>
        <w:rPr>
          <w:rFonts w:hint="eastAsia" w:ascii="仿宋" w:hAnsi="仿宋" w:eastAsia="仿宋" w:cs="仿宋"/>
          <w:b/>
          <w:color w:val="auto"/>
          <w:sz w:val="32"/>
          <w:szCs w:val="32"/>
        </w:rPr>
        <w:t>推进重金属污染环境防控。</w:t>
      </w:r>
      <w:r>
        <w:rPr>
          <w:rFonts w:hint="eastAsia" w:ascii="仿宋" w:hAnsi="仿宋" w:eastAsia="仿宋" w:cs="宋体"/>
          <w:color w:val="auto"/>
          <w:sz w:val="32"/>
          <w:szCs w:val="32"/>
        </w:rPr>
        <w:t>持续开展涉镉等重金属重点行业企业排查整治，防控重金属环境污染。完善涉重点重金属重点行业企业清单，并纳入排污许可管理，依法依规开展强制性清洁生产审核。</w:t>
      </w:r>
    </w:p>
    <w:p>
      <w:pPr>
        <w:spacing w:line="600" w:lineRule="exact"/>
        <w:ind w:firstLine="642" w:firstLineChars="200"/>
        <w:rPr>
          <w:rFonts w:hint="eastAsia" w:ascii="仿宋" w:hAnsi="仿宋" w:eastAsia="仿宋" w:cs="宋体"/>
          <w:color w:val="auto"/>
          <w:sz w:val="32"/>
          <w:szCs w:val="32"/>
        </w:rPr>
      </w:pPr>
      <w:r>
        <w:rPr>
          <w:rFonts w:hint="eastAsia" w:ascii="仿宋" w:hAnsi="仿宋" w:eastAsia="仿宋" w:cs="仿宋"/>
          <w:b/>
          <w:color w:val="auto"/>
          <w:sz w:val="32"/>
          <w:szCs w:val="32"/>
        </w:rPr>
        <w:t>强化新污染物治理。</w:t>
      </w:r>
      <w:r>
        <w:rPr>
          <w:rFonts w:hint="eastAsia" w:ascii="仿宋" w:hAnsi="仿宋" w:eastAsia="仿宋" w:cs="宋体"/>
          <w:color w:val="auto"/>
          <w:sz w:val="32"/>
          <w:szCs w:val="32"/>
        </w:rPr>
        <w:t>按照新污染物治理行动方案和上级要求，对持久性有机污染物、内分泌干扰物等新污染物实施调查监测，落实环境风险管控措施。</w:t>
      </w:r>
    </w:p>
    <w:p>
      <w:pPr>
        <w:spacing w:line="600" w:lineRule="exact"/>
        <w:ind w:firstLine="642" w:firstLineChars="200"/>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rPr>
        <w:t>.强化环境风险预警防控与应急</w:t>
      </w:r>
    </w:p>
    <w:p>
      <w:pPr>
        <w:spacing w:line="600" w:lineRule="exact"/>
        <w:ind w:firstLine="642" w:firstLineChars="200"/>
        <w:rPr>
          <w:rFonts w:hint="eastAsia" w:ascii="仿宋" w:hAnsi="仿宋" w:eastAsia="仿宋" w:cs="宋体"/>
          <w:color w:val="auto"/>
          <w:sz w:val="32"/>
          <w:szCs w:val="32"/>
        </w:rPr>
      </w:pPr>
      <w:r>
        <w:rPr>
          <w:rFonts w:hint="eastAsia" w:ascii="仿宋" w:hAnsi="仿宋" w:eastAsia="仿宋" w:cs="仿宋"/>
          <w:b/>
          <w:color w:val="auto"/>
          <w:sz w:val="32"/>
          <w:szCs w:val="32"/>
        </w:rPr>
        <w:t>加强环境风险源头防控。</w:t>
      </w:r>
      <w:r>
        <w:rPr>
          <w:rFonts w:hint="eastAsia" w:ascii="仿宋" w:hAnsi="仿宋" w:eastAsia="仿宋" w:cs="宋体"/>
          <w:color w:val="auto"/>
          <w:sz w:val="32"/>
          <w:szCs w:val="32"/>
        </w:rPr>
        <w:t>压实企业环境安全主体责任，开展生态环境风险隐患排查治理，建立重大环境风险源企业及环境风险敏感企业名录。开展重点流域、化工园区、涉危涉重企业及集中式饮用水水源地环境风险评估调查，实施分类分级动态管控。</w:t>
      </w:r>
    </w:p>
    <w:p>
      <w:pPr>
        <w:spacing w:line="600" w:lineRule="exact"/>
        <w:ind w:firstLine="642" w:firstLineChars="200"/>
        <w:rPr>
          <w:rFonts w:hint="eastAsia" w:ascii="仿宋" w:hAnsi="仿宋" w:eastAsia="仿宋" w:cs="宋体"/>
          <w:color w:val="auto"/>
          <w:sz w:val="32"/>
          <w:szCs w:val="32"/>
        </w:rPr>
      </w:pPr>
      <w:r>
        <w:rPr>
          <w:rFonts w:hint="eastAsia" w:ascii="仿宋" w:hAnsi="仿宋" w:eastAsia="仿宋" w:cs="仿宋"/>
          <w:b/>
          <w:color w:val="auto"/>
          <w:sz w:val="32"/>
          <w:szCs w:val="32"/>
        </w:rPr>
        <w:t>夯实环境安全保障基础。</w:t>
      </w:r>
      <w:r>
        <w:rPr>
          <w:rFonts w:hint="eastAsia" w:ascii="仿宋" w:hAnsi="仿宋" w:eastAsia="仿宋" w:cs="宋体"/>
          <w:color w:val="auto"/>
          <w:sz w:val="32"/>
          <w:szCs w:val="32"/>
        </w:rPr>
        <w:t>健全政府、部门、园区、企业、饮用水水源地等突发环境事件应急预案体系，健全应急响应机制，有效防范遏制重特大突发环境事件。加强生态环境、应急、公安、水利、交通运输、消防等部门的应急联动，提高信息互通、资源共享和协同处置能力。</w:t>
      </w:r>
    </w:p>
    <w:p>
      <w:pPr>
        <w:spacing w:line="600" w:lineRule="exact"/>
        <w:ind w:firstLine="642" w:firstLineChars="200"/>
        <w:rPr>
          <w:rFonts w:hint="eastAsia" w:ascii="仿宋" w:hAnsi="仿宋" w:eastAsia="仿宋" w:cs="宋体"/>
          <w:color w:val="auto"/>
          <w:sz w:val="32"/>
          <w:szCs w:val="32"/>
        </w:rPr>
      </w:pPr>
      <w:r>
        <w:rPr>
          <w:rFonts w:hint="eastAsia" w:ascii="仿宋" w:hAnsi="仿宋" w:eastAsia="仿宋" w:cs="仿宋"/>
          <w:b/>
          <w:color w:val="auto"/>
          <w:sz w:val="32"/>
          <w:szCs w:val="32"/>
        </w:rPr>
        <w:t>推进环境应急能力建设。</w:t>
      </w:r>
      <w:r>
        <w:rPr>
          <w:rFonts w:hint="eastAsia" w:ascii="仿宋" w:hAnsi="仿宋" w:eastAsia="仿宋" w:cs="宋体"/>
          <w:color w:val="auto"/>
          <w:sz w:val="32"/>
          <w:szCs w:val="32"/>
        </w:rPr>
        <w:t>加强环境应急管理队伍建设，健全环境应急指挥平台，更新扩充应急物资和防护装备，加强应急监测装备配置，定期开展环境应急演练和人员培训，提升应急处置能力。</w:t>
      </w:r>
    </w:p>
    <w:p>
      <w:pPr>
        <w:spacing w:line="600" w:lineRule="exact"/>
        <w:ind w:firstLine="642" w:firstLineChars="200"/>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rPr>
        <w:t>.加强常态化疫情防控环境监管</w:t>
      </w:r>
    </w:p>
    <w:p>
      <w:pPr>
        <w:spacing w:line="60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建立医疗废物协同应急处置机制，合理调配行政区内医疗废物处置能力，保障医废处置设施检修期间的应急处置。确保医疗废物得到及时、有序、高效、规范的无害化处置，坚定守护疫情防控的环境安全底线。建立完善医疗机构污水处理、城镇污水处理、饮用水水源地的巡查制度，视情开展余氯和生物毒性监测，切实消除疫情隐患。</w:t>
      </w:r>
    </w:p>
    <w:p>
      <w:pPr>
        <w:spacing w:line="600" w:lineRule="exact"/>
        <w:ind w:firstLine="642" w:firstLineChars="200"/>
        <w:rPr>
          <w:rFonts w:ascii="楷体" w:hAnsi="楷体" w:eastAsia="楷体" w:cs="仿宋"/>
          <w:b/>
          <w:color w:val="auto"/>
          <w:sz w:val="32"/>
          <w:szCs w:val="32"/>
        </w:rPr>
      </w:pPr>
      <w:r>
        <w:rPr>
          <w:rFonts w:hint="eastAsia" w:ascii="楷体" w:hAnsi="楷体" w:eastAsia="楷体" w:cs="仿宋"/>
          <w:b/>
          <w:color w:val="auto"/>
          <w:sz w:val="32"/>
          <w:szCs w:val="32"/>
        </w:rPr>
        <w:t>（九）坚持改革创新，构建现代环境治理体系</w:t>
      </w:r>
    </w:p>
    <w:p>
      <w:pPr>
        <w:spacing w:line="600" w:lineRule="exact"/>
        <w:ind w:firstLine="642" w:firstLineChars="200"/>
        <w:rPr>
          <w:rFonts w:ascii="Times New Roman" w:hAnsi="Times New Roman" w:eastAsia="仿宋" w:cs="仿宋"/>
          <w:b/>
          <w:color w:val="auto"/>
          <w:sz w:val="32"/>
          <w:szCs w:val="32"/>
        </w:rPr>
      </w:pPr>
      <w:r>
        <w:rPr>
          <w:rFonts w:hint="eastAsia" w:ascii="Times New Roman" w:hAnsi="Times New Roman" w:eastAsia="仿宋" w:cs="仿宋"/>
          <w:b/>
          <w:color w:val="auto"/>
          <w:sz w:val="32"/>
          <w:szCs w:val="32"/>
        </w:rPr>
        <w:t>1</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健全生态环境管理体制机制</w:t>
      </w:r>
    </w:p>
    <w:p>
      <w:pPr>
        <w:spacing w:line="600" w:lineRule="exact"/>
        <w:ind w:firstLine="642" w:firstLineChars="200"/>
        <w:rPr>
          <w:rFonts w:hint="eastAsia" w:ascii="仿宋" w:hAnsi="仿宋" w:eastAsia="仿宋" w:cs="宋体"/>
          <w:color w:val="auto"/>
          <w:sz w:val="32"/>
          <w:szCs w:val="32"/>
        </w:rPr>
      </w:pPr>
      <w:r>
        <w:rPr>
          <w:rFonts w:hint="eastAsia" w:ascii="仿宋" w:hAnsi="仿宋" w:eastAsia="仿宋" w:cs="仿宋"/>
          <w:b/>
          <w:color w:val="auto"/>
          <w:sz w:val="32"/>
          <w:szCs w:val="32"/>
        </w:rPr>
        <w:t>落实地方党委政府领导“党政同责、一岗双责”责任。</w:t>
      </w:r>
      <w:r>
        <w:rPr>
          <w:rFonts w:hint="eastAsia" w:ascii="仿宋" w:hAnsi="仿宋" w:eastAsia="仿宋" w:cs="宋体"/>
          <w:color w:val="auto"/>
          <w:sz w:val="32"/>
          <w:szCs w:val="32"/>
        </w:rPr>
        <w:t>健全生态文明建设领导小组和生态环境保护委员会，制定实施党委、政府有关部门生态环境保护责任清单。组织落实目标任务、政策措施，加大资金投入。统筹做好监管执法、市场规范、资金保障、宣传教育等工作。执行领导干部自然资源资产离任审计，实行领导干部生态环境损害责任终身追究制。</w:t>
      </w:r>
    </w:p>
    <w:p>
      <w:pPr>
        <w:spacing w:line="600" w:lineRule="exact"/>
        <w:ind w:firstLine="642" w:firstLineChars="200"/>
        <w:rPr>
          <w:rFonts w:hint="eastAsia" w:ascii="仿宋" w:hAnsi="仿宋" w:eastAsia="仿宋" w:cs="宋体"/>
          <w:color w:val="auto"/>
          <w:sz w:val="32"/>
          <w:szCs w:val="32"/>
        </w:rPr>
      </w:pPr>
      <w:r>
        <w:rPr>
          <w:rFonts w:hint="eastAsia" w:ascii="仿宋" w:hAnsi="仿宋" w:eastAsia="仿宋" w:cs="仿宋"/>
          <w:b/>
          <w:color w:val="auto"/>
          <w:sz w:val="32"/>
          <w:szCs w:val="32"/>
        </w:rPr>
        <w:t>健全部门协作机制。</w:t>
      </w:r>
      <w:r>
        <w:rPr>
          <w:rFonts w:hint="eastAsia" w:ascii="仿宋" w:hAnsi="仿宋" w:eastAsia="仿宋" w:cs="宋体"/>
          <w:color w:val="auto"/>
          <w:sz w:val="32"/>
          <w:szCs w:val="32"/>
        </w:rPr>
        <w:t>结合本地发展实际，细化构建现代环境治理体系的目标任务和政策措施。落实“管发展必须管环保、管行业必须管环保、管生产必须管环保”的要求，加强统筹协调和政策支持，落实分解各项任务并推进相关具体工作。推动职能部门做好生态环境保护工作，进一步完善齐抓共管、各负其责的大生态环保格局。</w:t>
      </w:r>
    </w:p>
    <w:p>
      <w:pPr>
        <w:suppressAutoHyphens/>
        <w:spacing w:line="600" w:lineRule="exact"/>
        <w:ind w:firstLine="640" w:firstLineChars="200"/>
        <w:rPr>
          <w:rFonts w:ascii="Times New Roman" w:hAnsi="Times New Roman" w:eastAsia="仿宋" w:cs="仿宋"/>
          <w:b/>
          <w:color w:val="auto"/>
          <w:sz w:val="32"/>
          <w:szCs w:val="32"/>
        </w:rPr>
      </w:pPr>
      <w:r>
        <w:rPr>
          <w:rFonts w:hint="eastAsia" w:ascii="MingLiU_HKSCS" w:hAnsi="MingLiU_HKSCS" w:eastAsia="MingLiU_HKSCS" w:cs="MingLiU_HKSCS"/>
          <w:b/>
          <w:color w:val="auto"/>
          <w:sz w:val="32"/>
          <w:szCs w:val="32"/>
        </w:rPr>
        <w:t>2.</w:t>
      </w:r>
      <w:r>
        <w:rPr>
          <w:rFonts w:hint="eastAsia" w:ascii="仿宋_GB2312" w:hAnsi="仿宋_GB2312" w:eastAsia="仿宋_GB2312" w:cs="仿宋_GB2312"/>
          <w:b/>
          <w:bCs/>
          <w:color w:val="auto"/>
          <w:sz w:val="32"/>
          <w:szCs w:val="32"/>
        </w:rPr>
        <w:t>高质高效完成</w:t>
      </w:r>
      <w:r>
        <w:rPr>
          <w:rFonts w:hint="eastAsia" w:ascii="仿宋_GB2312" w:hAnsi="仿宋_GB2312" w:eastAsia="仿宋_GB2312" w:cs="仿宋_GB2312"/>
          <w:b/>
          <w:bCs/>
          <w:color w:val="auto"/>
          <w:sz w:val="32"/>
          <w:szCs w:val="32"/>
          <w:lang w:eastAsia="zh-CN"/>
        </w:rPr>
        <w:t>中央、省级</w:t>
      </w:r>
      <w:r>
        <w:rPr>
          <w:rFonts w:hint="eastAsia" w:ascii="仿宋_GB2312" w:hAnsi="仿宋_GB2312" w:eastAsia="仿宋_GB2312" w:cs="仿宋_GB2312"/>
          <w:b/>
          <w:bCs/>
          <w:color w:val="auto"/>
          <w:sz w:val="32"/>
          <w:szCs w:val="32"/>
        </w:rPr>
        <w:t>生态环境保护督察整改任务</w:t>
      </w:r>
    </w:p>
    <w:p>
      <w:pPr>
        <w:spacing w:line="60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坚持“党政同责”“一岗双责”，党委政府和有关职能部门，健全整改责任体系，压实落靠整改工作的属地责任、主体责任，形成各司其职、各负其责、齐抓共管、配合协作的整改工作合力。坚持问题导向、目标导向，制定生态环保督察整改方案和措施清单，精心组织问题整改适时开展排查整治，推行台账制度和调度制度，强化现场核查，推进整改工作从严从细从实、达到序时进度。对督察曝光的典型案例，坚持举一反三、自检自纠，抢前抓早进行对照查改，做到排查“准”、清单“细”、分析“精”、整治“实”，切实解决好我</w:t>
      </w:r>
      <w:r>
        <w:rPr>
          <w:rFonts w:hint="eastAsia" w:ascii="仿宋" w:hAnsi="仿宋" w:eastAsia="仿宋" w:cs="宋体"/>
          <w:color w:val="auto"/>
          <w:sz w:val="32"/>
          <w:szCs w:val="32"/>
          <w:lang w:eastAsia="zh-CN"/>
        </w:rPr>
        <w:t>县</w:t>
      </w:r>
      <w:r>
        <w:rPr>
          <w:rFonts w:hint="eastAsia" w:ascii="仿宋" w:hAnsi="仿宋" w:eastAsia="仿宋" w:cs="宋体"/>
          <w:color w:val="auto"/>
          <w:sz w:val="32"/>
          <w:szCs w:val="32"/>
        </w:rPr>
        <w:t>突出生态环境问题，解决不到位、整改不彻底绝不罢手。完善督察整改验收销号管理办法，严格履行整改销号手续，严把佐证资料审核关，按一题一档要求建立销号档案，全面真实准确记录整改过程和效果，做到验收一个销号一个，确保各项整改任务如期高质完成。坚持生态惠民、环保为民，以钉钉子精神和严实细致的作风，公开公正地做好督察信访事项的调查处理，对阶段性办结案件加快办案与整改步伐，对已办结案件定期回访、复查，力争办理一个案件、化解一类矛盾、健全一项制度、堵塞一批漏洞，坚决防止问题复发反弹。通过持续狠抓督查反馈问题的整改落实，加强日常监管，建立长效机制，进一步推动督察整改工作走深走实，促进全</w:t>
      </w:r>
      <w:r>
        <w:rPr>
          <w:rFonts w:hint="eastAsia" w:ascii="仿宋" w:hAnsi="仿宋" w:eastAsia="仿宋" w:cs="宋体"/>
          <w:color w:val="auto"/>
          <w:sz w:val="32"/>
          <w:szCs w:val="32"/>
          <w:lang w:eastAsia="zh-CN"/>
        </w:rPr>
        <w:t>县</w:t>
      </w:r>
      <w:r>
        <w:rPr>
          <w:rFonts w:hint="eastAsia" w:ascii="仿宋" w:hAnsi="仿宋" w:eastAsia="仿宋" w:cs="宋体"/>
          <w:color w:val="auto"/>
          <w:sz w:val="32"/>
          <w:szCs w:val="32"/>
        </w:rPr>
        <w:t>生态环境保护取得更大成效。</w:t>
      </w:r>
    </w:p>
    <w:p>
      <w:pPr>
        <w:spacing w:line="600" w:lineRule="exact"/>
        <w:ind w:firstLine="564"/>
        <w:rPr>
          <w:rFonts w:ascii="Times New Roman" w:hAnsi="Times New Roman" w:eastAsia="仿宋" w:cs="仿宋"/>
          <w:color w:val="auto"/>
          <w:sz w:val="32"/>
          <w:szCs w:val="32"/>
        </w:rPr>
      </w:pPr>
      <w:r>
        <w:rPr>
          <w:rFonts w:hint="eastAsia" w:ascii="Times New Roman" w:hAnsi="Times New Roman" w:eastAsia="仿宋" w:cs="仿宋"/>
          <w:b/>
          <w:color w:val="auto"/>
          <w:sz w:val="32"/>
          <w:szCs w:val="32"/>
        </w:rPr>
        <w:t>3</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强化生态环境法治建设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宋体"/>
          <w:color w:val="auto"/>
          <w:sz w:val="32"/>
          <w:szCs w:val="32"/>
        </w:rPr>
      </w:pPr>
      <w:r>
        <w:rPr>
          <w:rFonts w:hint="eastAsia" w:ascii="Times New Roman" w:hAnsi="Times New Roman" w:eastAsia="仿宋" w:cs="仿宋"/>
          <w:color w:val="auto"/>
          <w:sz w:val="32"/>
          <w:szCs w:val="32"/>
        </w:rPr>
        <w:t>　　</w:t>
      </w:r>
      <w:r>
        <w:rPr>
          <w:rFonts w:hint="eastAsia" w:ascii="仿宋" w:hAnsi="仿宋" w:eastAsia="仿宋" w:cs="宋体"/>
          <w:color w:val="auto"/>
          <w:sz w:val="32"/>
          <w:szCs w:val="32"/>
        </w:rPr>
        <w:t>推进环境司法协同联动</w:t>
      </w:r>
      <w:r>
        <w:rPr>
          <w:rFonts w:hint="default" w:ascii="仿宋" w:hAnsi="仿宋" w:eastAsia="仿宋" w:cs="宋体"/>
          <w:color w:val="auto"/>
          <w:sz w:val="32"/>
          <w:szCs w:val="32"/>
        </w:rPr>
        <w:t>，</w:t>
      </w:r>
      <w:r>
        <w:rPr>
          <w:rFonts w:hint="eastAsia" w:ascii="仿宋" w:hAnsi="仿宋" w:eastAsia="仿宋" w:cs="宋体"/>
          <w:color w:val="auto"/>
          <w:sz w:val="32"/>
          <w:szCs w:val="32"/>
        </w:rPr>
        <w:t>建立生态环境保护综合行政执法机构、公安机关、检察机关、审判机关信息共享、专业支持、案情通报、案件移送制度，加强“以案释法”和交流借鉴。协调检察机关发挥检察公益诉讼法律监督职能，运用诉前检察建议和提起行政公益诉讼等方式，督促相关行政执法机关依法履行生态环境监督管理职责，会同人民法院探索建立生态环境和资源保护领域民事公益诉讼从业禁止制度。依法严厉打击生态环境违法犯罪行为。积极开展生态环境损害赔偿工作，对造成生态环境损害的，依法依规追究赔偿责任。推动完善环境公益诉讼制度，与行政处罚、刑事司法及生态环境损害赔偿等制度进行衔接。</w:t>
      </w:r>
    </w:p>
    <w:p>
      <w:pPr>
        <w:spacing w:line="600" w:lineRule="exact"/>
        <w:rPr>
          <w:rFonts w:ascii="Times New Roman" w:hAnsi="Times New Roman" w:eastAsia="仿宋" w:cs="仿宋"/>
          <w:b/>
          <w:color w:val="auto"/>
          <w:sz w:val="32"/>
          <w:szCs w:val="32"/>
        </w:rPr>
      </w:pPr>
      <w:r>
        <w:rPr>
          <w:rFonts w:hint="eastAsia" w:ascii="Times New Roman" w:hAnsi="Times New Roman" w:eastAsia="仿宋" w:cs="仿宋"/>
          <w:color w:val="auto"/>
          <w:sz w:val="32"/>
          <w:szCs w:val="32"/>
        </w:rPr>
        <w:t>　　</w:t>
      </w:r>
      <w:r>
        <w:rPr>
          <w:rFonts w:hint="eastAsia" w:ascii="Times New Roman" w:hAnsi="Times New Roman" w:eastAsia="仿宋" w:cs="仿宋"/>
          <w:b/>
          <w:color w:val="auto"/>
          <w:sz w:val="32"/>
          <w:szCs w:val="32"/>
        </w:rPr>
        <w:t>4</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健全生态环境管理制度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宋体"/>
          <w:color w:val="auto"/>
          <w:sz w:val="32"/>
          <w:szCs w:val="32"/>
        </w:rPr>
      </w:pPr>
      <w:r>
        <w:rPr>
          <w:rFonts w:hint="eastAsia" w:ascii="Times New Roman" w:hAnsi="Times New Roman" w:eastAsia="仿宋" w:cs="仿宋"/>
          <w:color w:val="auto"/>
          <w:sz w:val="32"/>
          <w:szCs w:val="32"/>
        </w:rPr>
        <w:t>　　</w:t>
      </w:r>
      <w:r>
        <w:rPr>
          <w:rFonts w:hint="eastAsia" w:ascii="仿宋" w:hAnsi="仿宋" w:eastAsia="仿宋" w:cs="仿宋"/>
          <w:b/>
          <w:color w:val="auto"/>
          <w:sz w:val="32"/>
          <w:szCs w:val="32"/>
        </w:rPr>
        <w:t>依法实行排污许可制度。</w:t>
      </w:r>
      <w:r>
        <w:rPr>
          <w:rFonts w:hint="eastAsia" w:ascii="仿宋" w:hAnsi="仿宋" w:eastAsia="仿宋" w:cs="宋体"/>
          <w:color w:val="auto"/>
          <w:sz w:val="32"/>
          <w:szCs w:val="32"/>
        </w:rPr>
        <w:t>严格落实法律、法规关于排污许可管理的相关规定，健全以排污许可制为基础的环境管理制度体系，排污单位必须持证排污、按证排污，自证守法。妥善处理排污许可与环评制度的关系，构建以排污许可制为核心的固定污染源监管制度体系，加强排污许可证后管理，落实排污许可证“一证式”管理，推动总量控制、生态环境统计、生态环境监测、生态环境执法等生态环境管理制度衔接。持续做好排污许可证换证和登记延续动态更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宋体"/>
          <w:color w:val="auto"/>
          <w:sz w:val="32"/>
          <w:szCs w:val="32"/>
        </w:rPr>
      </w:pPr>
      <w:r>
        <w:rPr>
          <w:rFonts w:hint="eastAsia" w:ascii="仿宋" w:hAnsi="仿宋" w:eastAsia="仿宋" w:cs="宋体"/>
          <w:color w:val="auto"/>
          <w:sz w:val="32"/>
          <w:szCs w:val="32"/>
        </w:rPr>
        <w:t>　　</w:t>
      </w:r>
      <w:r>
        <w:rPr>
          <w:rFonts w:hint="eastAsia" w:ascii="仿宋" w:hAnsi="仿宋" w:eastAsia="仿宋" w:cs="仿宋"/>
          <w:b/>
          <w:color w:val="auto"/>
          <w:sz w:val="32"/>
          <w:szCs w:val="32"/>
        </w:rPr>
        <w:t>完善污染物排放总量控制制度。</w:t>
      </w:r>
      <w:r>
        <w:rPr>
          <w:rFonts w:hint="eastAsia" w:ascii="仿宋" w:hAnsi="仿宋" w:eastAsia="仿宋" w:cs="宋体"/>
          <w:color w:val="auto"/>
          <w:sz w:val="32"/>
          <w:szCs w:val="32"/>
        </w:rPr>
        <w:t>推进依托排污许可证实施单位污染物排放总量指标分配、监管和考核。实施基于环境质量改善的区域、流域排污总量控制，实施一批重点区域、重点行业减排工程，着力推进多污染物协同减排，统筹考虑温室气体协同减排效应。健全污染减排激励约束机制。积极参与补偿机制，争取国家、省级财政支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宋体"/>
          <w:color w:val="auto"/>
          <w:sz w:val="32"/>
          <w:szCs w:val="32"/>
        </w:rPr>
      </w:pPr>
      <w:r>
        <w:rPr>
          <w:rFonts w:hint="eastAsia" w:ascii="仿宋" w:hAnsi="仿宋" w:eastAsia="仿宋" w:cs="宋体"/>
          <w:color w:val="auto"/>
          <w:sz w:val="32"/>
          <w:szCs w:val="32"/>
        </w:rPr>
        <w:t>　　</w:t>
      </w:r>
      <w:r>
        <w:rPr>
          <w:rFonts w:hint="eastAsia" w:ascii="仿宋" w:hAnsi="仿宋" w:eastAsia="仿宋" w:cs="仿宋"/>
          <w:b/>
          <w:color w:val="auto"/>
          <w:sz w:val="32"/>
          <w:szCs w:val="32"/>
        </w:rPr>
        <w:t>健全企业环境信用制度。</w:t>
      </w:r>
      <w:r>
        <w:rPr>
          <w:rFonts w:hint="eastAsia" w:ascii="仿宋" w:hAnsi="仿宋" w:eastAsia="仿宋" w:cs="宋体"/>
          <w:color w:val="auto"/>
          <w:sz w:val="32"/>
          <w:szCs w:val="32"/>
        </w:rPr>
        <w:t>完善企业环保信用评价制度，依据评价结果实施分级分类监管。对环保信用良好的企业，在绿色信贷等方面予以优先支持。建立排污企业黑名单制度，将环境违法企业依法依规纳入失信联合惩戒对象名单，将其失信信息记入信用记录，纳入</w:t>
      </w:r>
      <w:r>
        <w:rPr>
          <w:rFonts w:hint="eastAsia" w:ascii="仿宋" w:hAnsi="仿宋" w:eastAsia="仿宋" w:cs="仿宋"/>
          <w:color w:val="auto"/>
          <w:sz w:val="32"/>
          <w:szCs w:val="32"/>
          <w:lang w:eastAsia="zh-CN"/>
        </w:rPr>
        <w:t>鸡东县</w:t>
      </w:r>
      <w:r>
        <w:rPr>
          <w:rFonts w:hint="eastAsia" w:ascii="仿宋" w:hAnsi="仿宋" w:eastAsia="仿宋" w:cs="宋体"/>
          <w:color w:val="auto"/>
          <w:sz w:val="32"/>
          <w:szCs w:val="32"/>
        </w:rPr>
        <w:t>公共信用信息平台，依法向社会公开，强化环保信用的约束力。</w:t>
      </w:r>
    </w:p>
    <w:p>
      <w:pPr>
        <w:spacing w:line="600" w:lineRule="exact"/>
        <w:rPr>
          <w:rFonts w:ascii="Times New Roman" w:hAnsi="Times New Roman" w:eastAsia="仿宋" w:cs="仿宋"/>
          <w:b/>
          <w:color w:val="auto"/>
          <w:sz w:val="32"/>
          <w:szCs w:val="32"/>
        </w:rPr>
      </w:pPr>
      <w:r>
        <w:rPr>
          <w:rFonts w:hint="eastAsia" w:ascii="Times New Roman" w:hAnsi="Times New Roman" w:eastAsia="仿宋" w:cs="仿宋"/>
          <w:color w:val="auto"/>
          <w:sz w:val="32"/>
          <w:szCs w:val="32"/>
        </w:rPr>
        <w:t>　　</w:t>
      </w:r>
      <w:r>
        <w:rPr>
          <w:rFonts w:hint="eastAsia" w:ascii="Times New Roman" w:hAnsi="Times New Roman" w:eastAsia="仿宋" w:cs="仿宋"/>
          <w:b/>
          <w:color w:val="auto"/>
          <w:sz w:val="32"/>
          <w:szCs w:val="32"/>
        </w:rPr>
        <w:t>5</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发挥市场机</w:t>
      </w:r>
      <w:r>
        <w:rPr>
          <w:rFonts w:hint="eastAsia" w:ascii="Times New Roman" w:hAnsi="Times New Roman" w:eastAsia="仿宋" w:cs="仿宋"/>
          <w:b/>
          <w:color w:val="auto"/>
          <w:sz w:val="32"/>
          <w:szCs w:val="32"/>
        </w:rPr>
        <w:t>制激励作用</w:t>
      </w:r>
    </w:p>
    <w:p>
      <w:pPr>
        <w:spacing w:line="600" w:lineRule="exact"/>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　　</w:t>
      </w:r>
      <w:r>
        <w:rPr>
          <w:rFonts w:hint="eastAsia" w:ascii="仿宋" w:hAnsi="仿宋" w:eastAsia="仿宋" w:cs="仿宋"/>
          <w:b/>
          <w:color w:val="auto"/>
          <w:sz w:val="32"/>
          <w:szCs w:val="32"/>
        </w:rPr>
        <w:t>构建规范开放的市场。</w:t>
      </w:r>
      <w:r>
        <w:rPr>
          <w:rFonts w:hint="eastAsia" w:ascii="Times New Roman" w:hAnsi="Times New Roman" w:eastAsia="仿宋" w:cs="仿宋"/>
          <w:color w:val="auto"/>
          <w:sz w:val="32"/>
          <w:szCs w:val="32"/>
        </w:rPr>
        <w:t>推进生态环境领域“放管服”改革，在环境污染治理、生态修复、环保技术装备开发等方面，吸引各类市场主体，引导各类资本，参与环境治理投资、建设、运行。加强环境治理市场监管，规范市场秩序，加强行业自律，减少恶性竞争，加快形成公开透明、规范有序的环境治理市场环境。</w:t>
      </w:r>
    </w:p>
    <w:p>
      <w:pPr>
        <w:spacing w:line="600" w:lineRule="exact"/>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　　</w:t>
      </w:r>
      <w:r>
        <w:rPr>
          <w:rFonts w:hint="eastAsia" w:ascii="仿宋" w:hAnsi="仿宋" w:eastAsia="仿宋" w:cs="仿宋"/>
          <w:b/>
          <w:color w:val="auto"/>
          <w:sz w:val="32"/>
          <w:szCs w:val="32"/>
        </w:rPr>
        <w:t>健全价格收费机制。</w:t>
      </w:r>
      <w:r>
        <w:rPr>
          <w:rFonts w:hint="eastAsia" w:ascii="Times New Roman" w:hAnsi="Times New Roman" w:eastAsia="仿宋" w:cs="仿宋"/>
          <w:color w:val="auto"/>
          <w:sz w:val="32"/>
          <w:szCs w:val="32"/>
        </w:rPr>
        <w:t>落实“谁污染、谁付费”政策导向，按照补偿处理成本、合理盈利原则，构建污水、垃圾处理费价格形成机制。在已建成污水集中处理设施、已实行垃圾集中处理的农村地区，探索建立处理收费制度。健全促进节能环保的电价机制，落实差别化电价政策和部分环保行业用电支持政策。</w:t>
      </w:r>
    </w:p>
    <w:p>
      <w:pPr>
        <w:spacing w:line="600" w:lineRule="exact"/>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　　</w:t>
      </w:r>
      <w:r>
        <w:rPr>
          <w:rFonts w:hint="eastAsia" w:ascii="仿宋" w:hAnsi="仿宋" w:eastAsia="仿宋" w:cs="仿宋"/>
          <w:b/>
          <w:color w:val="auto"/>
          <w:sz w:val="32"/>
          <w:szCs w:val="32"/>
        </w:rPr>
        <w:t>创新环境治理模式。</w:t>
      </w:r>
      <w:r>
        <w:rPr>
          <w:rFonts w:hint="eastAsia" w:ascii="Times New Roman" w:hAnsi="Times New Roman" w:eastAsia="仿宋" w:cs="仿宋"/>
          <w:color w:val="auto"/>
          <w:sz w:val="32"/>
          <w:szCs w:val="32"/>
        </w:rPr>
        <w:t>培育生态环境技术服务市场，推行环境污染第三方治理，在工业园区探索引入“环保管家”进行环境污染专业化统筹治理，开展环境污染第三方治理试点和小城镇环境综合治理托管服务试点。鼓励采用“环境修复+开发建设”模式，加强工业污染地块利用和安全管控。</w:t>
      </w:r>
    </w:p>
    <w:p>
      <w:pPr>
        <w:spacing w:line="600" w:lineRule="exact"/>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　　</w:t>
      </w:r>
      <w:r>
        <w:rPr>
          <w:rFonts w:hint="eastAsia" w:ascii="Times New Roman" w:hAnsi="Times New Roman" w:eastAsia="仿宋" w:cs="仿宋"/>
          <w:b/>
          <w:color w:val="auto"/>
          <w:sz w:val="32"/>
          <w:szCs w:val="32"/>
        </w:rPr>
        <w:t>6</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提升生态环境监测监管能力</w:t>
      </w:r>
    </w:p>
    <w:p>
      <w:pPr>
        <w:spacing w:line="600" w:lineRule="exact"/>
        <w:ind w:firstLine="660"/>
        <w:rPr>
          <w:rFonts w:ascii="Times New Roman" w:hAnsi="Times New Roman" w:eastAsia="仿宋" w:cs="仿宋"/>
          <w:color w:val="auto"/>
          <w:sz w:val="32"/>
          <w:szCs w:val="32"/>
        </w:rPr>
      </w:pPr>
      <w:r>
        <w:rPr>
          <w:rFonts w:hint="eastAsia" w:ascii="仿宋" w:hAnsi="仿宋" w:eastAsia="仿宋" w:cs="仿宋"/>
          <w:b/>
          <w:color w:val="auto"/>
          <w:sz w:val="32"/>
          <w:szCs w:val="32"/>
        </w:rPr>
        <w:t>推进监管体制改革。</w:t>
      </w:r>
      <w:r>
        <w:rPr>
          <w:rFonts w:hint="eastAsia" w:ascii="仿宋" w:hAnsi="仿宋" w:eastAsia="仿宋" w:cs="仿宋"/>
          <w:b w:val="0"/>
          <w:bCs/>
          <w:color w:val="auto"/>
          <w:sz w:val="32"/>
          <w:szCs w:val="32"/>
          <w:lang w:eastAsia="zh-CN"/>
        </w:rPr>
        <w:t>继续完善省以下生态环境监测监察机构改革，</w:t>
      </w:r>
      <w:r>
        <w:rPr>
          <w:rFonts w:hint="eastAsia" w:ascii="Times New Roman" w:hAnsi="Times New Roman" w:eastAsia="仿宋" w:cs="仿宋"/>
          <w:color w:val="auto"/>
          <w:sz w:val="32"/>
          <w:szCs w:val="32"/>
        </w:rPr>
        <w:t>深化全</w:t>
      </w:r>
      <w:r>
        <w:rPr>
          <w:rFonts w:hint="eastAsia" w:ascii="Times New Roman" w:hAnsi="Times New Roman" w:eastAsia="仿宋" w:cs="仿宋"/>
          <w:color w:val="auto"/>
          <w:sz w:val="32"/>
          <w:szCs w:val="32"/>
          <w:lang w:eastAsia="zh-CN"/>
        </w:rPr>
        <w:t>县</w:t>
      </w:r>
      <w:r>
        <w:rPr>
          <w:rFonts w:hint="eastAsia" w:ascii="Times New Roman" w:hAnsi="Times New Roman" w:eastAsia="仿宋" w:cs="仿宋"/>
          <w:color w:val="auto"/>
          <w:sz w:val="32"/>
          <w:szCs w:val="32"/>
        </w:rPr>
        <w:t>生态环境保护综合行政执法改革，优化职责及编制配置，建立健全基层生态环境保护管理体制</w:t>
      </w:r>
      <w:r>
        <w:rPr>
          <w:rFonts w:hint="eastAsia" w:ascii="Times New Roman" w:hAnsi="Times New Roman" w:eastAsia="仿宋" w:cs="仿宋"/>
          <w:color w:val="auto"/>
          <w:sz w:val="32"/>
          <w:szCs w:val="32"/>
          <w:lang w:eastAsia="zh-CN"/>
        </w:rPr>
        <w:t>。</w:t>
      </w:r>
      <w:r>
        <w:rPr>
          <w:rFonts w:hint="eastAsia" w:ascii="Times New Roman" w:hAnsi="Times New Roman" w:eastAsia="仿宋" w:cs="仿宋"/>
          <w:color w:val="auto"/>
          <w:sz w:val="32"/>
          <w:szCs w:val="32"/>
        </w:rPr>
        <w:t>推进生态环境保护综合行政执法装备标准化建设，基本实现执法设备全覆盖，提高监测执法履职保障能力。</w:t>
      </w:r>
    </w:p>
    <w:p>
      <w:pPr>
        <w:spacing w:line="600" w:lineRule="exact"/>
        <w:ind w:firstLine="660"/>
        <w:rPr>
          <w:rFonts w:hint="eastAsia" w:ascii="Times New Roman" w:hAnsi="Times New Roman" w:eastAsia="仿宋" w:cs="仿宋"/>
          <w:color w:val="auto"/>
          <w:sz w:val="32"/>
          <w:szCs w:val="32"/>
        </w:rPr>
      </w:pPr>
      <w:r>
        <w:rPr>
          <w:rFonts w:hint="eastAsia" w:ascii="仿宋" w:hAnsi="仿宋" w:eastAsia="仿宋" w:cs="仿宋"/>
          <w:b/>
          <w:color w:val="auto"/>
          <w:sz w:val="32"/>
          <w:szCs w:val="32"/>
        </w:rPr>
        <w:t>健全监管执法机制。</w:t>
      </w:r>
      <w:r>
        <w:rPr>
          <w:rFonts w:hint="eastAsia" w:ascii="Times New Roman" w:hAnsi="Times New Roman" w:eastAsia="仿宋" w:cs="仿宋"/>
          <w:color w:val="auto"/>
          <w:sz w:val="32"/>
          <w:szCs w:val="32"/>
        </w:rPr>
        <w:t>完善</w:t>
      </w:r>
      <w:r>
        <w:rPr>
          <w:rFonts w:hint="eastAsia" w:ascii="仿宋" w:hAnsi="仿宋" w:eastAsia="仿宋" w:cs="仿宋"/>
          <w:color w:val="auto"/>
          <w:sz w:val="32"/>
          <w:szCs w:val="32"/>
          <w:lang w:eastAsia="zh-CN"/>
        </w:rPr>
        <w:t>鸡东县</w:t>
      </w:r>
      <w:r>
        <w:rPr>
          <w:rFonts w:hint="eastAsia" w:ascii="Times New Roman" w:hAnsi="Times New Roman" w:eastAsia="仿宋" w:cs="仿宋"/>
          <w:color w:val="auto"/>
          <w:sz w:val="32"/>
          <w:szCs w:val="32"/>
        </w:rPr>
        <w:t>生态环境执法监管平台，构建执法数据传输交换支撑体系。实施以排污许可证为核心的“一证式”执法监管模式。健全以“双随机、一公开”监管为基本手段，以重点监管为补充、以信用监管为基础的新型监管机制，推进“互联网+执法”。</w:t>
      </w:r>
    </w:p>
    <w:p>
      <w:pPr>
        <w:spacing w:line="600" w:lineRule="exact"/>
        <w:ind w:firstLine="642" w:firstLineChars="200"/>
        <w:rPr>
          <w:rFonts w:hint="eastAsia" w:ascii="Times New Roman" w:hAnsi="Times New Roman" w:eastAsia="仿宋" w:cs="仿宋"/>
          <w:color w:val="auto"/>
          <w:sz w:val="32"/>
          <w:szCs w:val="32"/>
        </w:rPr>
      </w:pPr>
      <w:r>
        <w:rPr>
          <w:rFonts w:hint="eastAsia" w:ascii="仿宋" w:hAnsi="仿宋" w:eastAsia="仿宋" w:cs="仿宋"/>
          <w:b/>
          <w:color w:val="auto"/>
          <w:sz w:val="32"/>
          <w:szCs w:val="32"/>
        </w:rPr>
        <w:t>强化监测能力建设。</w:t>
      </w:r>
      <w:r>
        <w:rPr>
          <w:rFonts w:hint="eastAsia" w:ascii="Times New Roman" w:hAnsi="Times New Roman" w:eastAsia="仿宋" w:cs="仿宋"/>
          <w:color w:val="auto"/>
          <w:sz w:val="32"/>
          <w:szCs w:val="32"/>
        </w:rPr>
        <w:t>提升全</w:t>
      </w:r>
      <w:r>
        <w:rPr>
          <w:rFonts w:hint="eastAsia" w:ascii="Times New Roman" w:hAnsi="Times New Roman" w:eastAsia="仿宋" w:cs="仿宋"/>
          <w:color w:val="auto"/>
          <w:sz w:val="32"/>
          <w:szCs w:val="32"/>
          <w:lang w:eastAsia="zh-CN"/>
        </w:rPr>
        <w:t>县</w:t>
      </w:r>
      <w:r>
        <w:rPr>
          <w:rFonts w:hint="eastAsia" w:ascii="Times New Roman" w:hAnsi="Times New Roman" w:eastAsia="仿宋" w:cs="仿宋"/>
          <w:color w:val="auto"/>
          <w:sz w:val="32"/>
          <w:szCs w:val="32"/>
        </w:rPr>
        <w:t>生态环境监测基础能力和完善生态环境监测网络，加强</w:t>
      </w:r>
      <w:r>
        <w:rPr>
          <w:rFonts w:hint="eastAsia" w:ascii="Times New Roman" w:hAnsi="Times New Roman" w:eastAsia="仿宋" w:cs="仿宋"/>
          <w:bCs/>
          <w:color w:val="auto"/>
          <w:sz w:val="32"/>
          <w:szCs w:val="32"/>
        </w:rPr>
        <w:t>生态环境智慧感知监测能力建设，</w:t>
      </w:r>
      <w:r>
        <w:rPr>
          <w:rFonts w:hint="eastAsia" w:ascii="Times New Roman" w:hAnsi="Times New Roman" w:eastAsia="仿宋" w:cs="仿宋"/>
          <w:color w:val="auto"/>
          <w:sz w:val="32"/>
          <w:szCs w:val="32"/>
        </w:rPr>
        <w:t>建立政府主导、部门协同、企业履责、社会参与、公众监督的监测格局，实现环境质量、污染源和生态状况监测全覆盖。补齐环境监测能力短板，优化监测站网布局，推动监测数据和监测点位资源共享。加强监测质量监督检查，确保监测数据质量。</w:t>
      </w:r>
    </w:p>
    <w:p>
      <w:pPr>
        <w:spacing w:line="600" w:lineRule="exact"/>
        <w:ind w:firstLine="642" w:firstLineChars="200"/>
        <w:rPr>
          <w:rFonts w:hint="eastAsia" w:ascii="Times New Roman" w:hAnsi="Times New Roman" w:eastAsia="仿宋" w:cs="仿宋"/>
          <w:b/>
          <w:color w:val="auto"/>
          <w:sz w:val="32"/>
          <w:szCs w:val="32"/>
        </w:rPr>
      </w:pPr>
      <w:r>
        <w:rPr>
          <w:rFonts w:hint="eastAsia" w:ascii="Times New Roman" w:hAnsi="Times New Roman" w:eastAsia="仿宋" w:cs="仿宋"/>
          <w:b/>
          <w:color w:val="auto"/>
          <w:sz w:val="32"/>
          <w:szCs w:val="32"/>
        </w:rPr>
        <w:t>7.加快生态环境数字化建设步伐</w:t>
      </w:r>
    </w:p>
    <w:p>
      <w:pPr>
        <w:spacing w:line="600" w:lineRule="exact"/>
        <w:ind w:firstLine="640" w:firstLineChars="200"/>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加强生态环境信息化建设，通过采集大气、水、土壤等的环境监测数据，绿色生态环境保护体系，将结果应用到移动端监管、移动执法和监控预警、信息公开等方面，为环境管理提供技术支撑。</w:t>
      </w:r>
    </w:p>
    <w:p>
      <w:pPr>
        <w:spacing w:line="600" w:lineRule="exact"/>
        <w:ind w:firstLine="642" w:firstLineChars="200"/>
        <w:rPr>
          <w:rFonts w:ascii="Times New Roman" w:hAnsi="Times New Roman" w:eastAsia="仿宋" w:cs="仿宋"/>
          <w:color w:val="auto"/>
          <w:sz w:val="32"/>
          <w:szCs w:val="32"/>
        </w:rPr>
      </w:pPr>
      <w:r>
        <w:rPr>
          <w:rFonts w:hint="eastAsia" w:ascii="Times New Roman" w:hAnsi="Times New Roman" w:eastAsia="仿宋" w:cs="仿宋"/>
          <w:b/>
          <w:color w:val="auto"/>
          <w:sz w:val="32"/>
          <w:szCs w:val="32"/>
        </w:rPr>
        <w:t>8</w:t>
      </w:r>
      <w:r>
        <w:rPr>
          <w:rFonts w:hint="eastAsia" w:ascii="MingLiU_HKSCS" w:hAnsi="MingLiU_HKSCS" w:eastAsia="MingLiU_HKSCS" w:cs="MingLiU_HKSCS"/>
          <w:b/>
          <w:color w:val="auto"/>
          <w:sz w:val="32"/>
          <w:szCs w:val="32"/>
        </w:rPr>
        <w:t>.</w:t>
      </w:r>
      <w:r>
        <w:rPr>
          <w:rFonts w:hint="eastAsia" w:ascii="仿宋" w:hAnsi="仿宋" w:eastAsia="仿宋" w:cs="仿宋"/>
          <w:b/>
          <w:color w:val="auto"/>
          <w:sz w:val="32"/>
          <w:szCs w:val="32"/>
        </w:rPr>
        <w:t>推进生态环保全民行动</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增强全社会生态环保意识。</w:t>
      </w:r>
      <w:r>
        <w:rPr>
          <w:rFonts w:hint="eastAsia" w:ascii="仿宋" w:hAnsi="仿宋" w:eastAsia="仿宋" w:cs="仿宋"/>
          <w:color w:val="auto"/>
          <w:sz w:val="32"/>
          <w:szCs w:val="32"/>
        </w:rPr>
        <w:t>将习近平生态文明思想学习贯彻落实和生态文明建设纳入宣传活动安排。利用“六五”环境日等重要时间节点，广泛开展宣传教育和各类文化活动。通过悬挂条幅、播放广播、发放宣传单等形式向广大市民宣传环保知识，呼吁大家关心爱护环境。</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践行简约适度绿色低碳生活。</w:t>
      </w:r>
      <w:r>
        <w:rPr>
          <w:rFonts w:hint="eastAsia" w:ascii="仿宋" w:hAnsi="仿宋" w:eastAsia="仿宋" w:cs="仿宋"/>
          <w:color w:val="auto"/>
          <w:sz w:val="32"/>
          <w:szCs w:val="32"/>
        </w:rPr>
        <w:t>开展绿色生活创建活动，推进全民绿色生活绿色消费，全面推进绿色生活设施建设。发挥政府机关作用，政府采购绿色采购方式及绿色产品比例</w:t>
      </w:r>
      <w:r>
        <w:rPr>
          <w:rFonts w:hint="eastAsia" w:ascii="仿宋" w:hAnsi="仿宋" w:eastAsia="仿宋" w:cs="仿宋"/>
          <w:color w:val="auto"/>
          <w:sz w:val="32"/>
          <w:szCs w:val="32"/>
          <w:lang w:eastAsia="zh-CN"/>
        </w:rPr>
        <w:t>提高</w:t>
      </w:r>
      <w:r>
        <w:rPr>
          <w:rFonts w:hint="eastAsia" w:ascii="仿宋" w:hAnsi="仿宋" w:eastAsia="仿宋" w:cs="仿宋"/>
          <w:color w:val="auto"/>
          <w:sz w:val="32"/>
          <w:szCs w:val="32"/>
        </w:rPr>
        <w:t>。落实企业生态环境保护和治理责任，充分发挥各类社会主体作用，强化公众监督与参与。</w:t>
      </w:r>
    </w:p>
    <w:p>
      <w:pPr>
        <w:spacing w:line="60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四、保障措施</w:t>
      </w:r>
    </w:p>
    <w:p>
      <w:pPr>
        <w:pStyle w:val="10"/>
        <w:tabs>
          <w:tab w:val="right" w:leader="dot" w:pos="8296"/>
        </w:tabs>
        <w:spacing w:line="600" w:lineRule="exact"/>
        <w:ind w:left="0" w:leftChars="0" w:firstLine="642" w:firstLineChars="200"/>
        <w:jc w:val="left"/>
        <w:outlineLvl w:val="1"/>
        <w:rPr>
          <w:rFonts w:hAnsi="宋体" w:eastAsia="宋体" w:cs="宋体"/>
          <w:b/>
          <w:bCs/>
          <w:color w:val="auto"/>
          <w:sz w:val="32"/>
          <w:szCs w:val="32"/>
        </w:rPr>
      </w:pPr>
      <w:bookmarkStart w:id="22" w:name="_Toc51315611"/>
      <w:r>
        <w:rPr>
          <w:rFonts w:hint="eastAsia" w:ascii="楷体" w:hAnsi="楷体" w:eastAsia="楷体" w:cs="仿宋"/>
          <w:b/>
          <w:color w:val="auto"/>
          <w:sz w:val="32"/>
          <w:szCs w:val="32"/>
        </w:rPr>
        <w:t>（一）落实国家部署，共享发展理念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全面落实国家、省、市关于生态文明建设和绿色发展系列部署要求，坚持创新、协调、绿色、开放、共享发展理念，以保障农产品质量和人居环境安全为出发点，坚持预防为主、保护优先、风险管控，突出重点区域、行业和污染物，实施分类别、分用途、分阶段治理，严控新增污染、逐步减少存量。</w:t>
      </w:r>
    </w:p>
    <w:p>
      <w:pPr>
        <w:pStyle w:val="10"/>
        <w:tabs>
          <w:tab w:val="right" w:leader="dot" w:pos="8296"/>
        </w:tabs>
        <w:spacing w:line="600" w:lineRule="exact"/>
        <w:ind w:left="0" w:leftChars="0" w:firstLine="642" w:firstLineChars="200"/>
        <w:jc w:val="left"/>
        <w:outlineLvl w:val="1"/>
        <w:rPr>
          <w:rFonts w:ascii="楷体" w:hAnsi="楷体" w:eastAsia="楷体" w:cs="仿宋"/>
          <w:b/>
          <w:color w:val="auto"/>
          <w:sz w:val="32"/>
          <w:szCs w:val="32"/>
        </w:rPr>
      </w:pPr>
      <w:r>
        <w:rPr>
          <w:rFonts w:hint="eastAsia" w:ascii="楷体" w:hAnsi="楷体" w:eastAsia="楷体" w:cs="仿宋"/>
          <w:b/>
          <w:color w:val="auto"/>
          <w:sz w:val="32"/>
          <w:szCs w:val="32"/>
        </w:rPr>
        <w:t>（二）强化组织领导，落实目标任务</w:t>
      </w:r>
      <w:bookmarkEnd w:id="22"/>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全面加强</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委对生态环境保护工作的领导，坚持党政同责，明确任务分工，压实各级党委政府的生态环境保护责任，要把规划目标、任务、措施和重点工程纳入本地国民经济和社会发展规划，制定并公布生态环境保护重点任务和年度目标。有关部门要各司其职、密切配合、齐抓共管，严格落实一岗双责、失职追责、尽职免责。</w:t>
      </w:r>
    </w:p>
    <w:p>
      <w:pPr>
        <w:pStyle w:val="10"/>
        <w:tabs>
          <w:tab w:val="right" w:leader="dot" w:pos="8296"/>
        </w:tabs>
        <w:spacing w:line="600" w:lineRule="exact"/>
        <w:ind w:left="0" w:leftChars="0" w:firstLine="642" w:firstLineChars="200"/>
        <w:jc w:val="left"/>
        <w:outlineLvl w:val="1"/>
        <w:rPr>
          <w:rFonts w:ascii="楷体" w:hAnsi="楷体" w:eastAsia="楷体" w:cs="仿宋"/>
          <w:b/>
          <w:color w:val="auto"/>
          <w:sz w:val="32"/>
          <w:szCs w:val="32"/>
        </w:rPr>
      </w:pPr>
      <w:bookmarkStart w:id="23" w:name="_Toc51315612"/>
      <w:r>
        <w:rPr>
          <w:rFonts w:hint="eastAsia" w:ascii="楷体" w:hAnsi="楷体" w:eastAsia="楷体" w:cs="仿宋"/>
          <w:b/>
          <w:color w:val="auto"/>
          <w:sz w:val="32"/>
          <w:szCs w:val="32"/>
        </w:rPr>
        <w:t>（三）拓宽融资渠道，保障资金</w:t>
      </w:r>
      <w:bookmarkEnd w:id="23"/>
      <w:r>
        <w:rPr>
          <w:rFonts w:hint="eastAsia" w:ascii="楷体" w:hAnsi="楷体" w:eastAsia="楷体" w:cs="仿宋"/>
          <w:b/>
          <w:color w:val="auto"/>
          <w:sz w:val="32"/>
          <w:szCs w:val="32"/>
        </w:rPr>
        <w:t>投入</w:t>
      </w:r>
    </w:p>
    <w:p>
      <w:pPr>
        <w:spacing w:line="600" w:lineRule="exact"/>
        <w:ind w:firstLine="640" w:firstLineChars="200"/>
        <w:rPr>
          <w:rFonts w:ascii="Times New Roman" w:hAnsi="Times New Roman" w:eastAsia="仿宋" w:cs="仿宋"/>
          <w:color w:val="auto"/>
          <w:sz w:val="32"/>
          <w:szCs w:val="32"/>
        </w:rPr>
      </w:pPr>
      <w:bookmarkStart w:id="24" w:name="_Toc51315613"/>
      <w:r>
        <w:rPr>
          <w:rFonts w:hint="eastAsia" w:ascii="Times New Roman" w:hAnsi="Times New Roman" w:eastAsia="仿宋" w:cs="仿宋"/>
          <w:color w:val="auto"/>
          <w:sz w:val="32"/>
          <w:szCs w:val="32"/>
        </w:rPr>
        <w:t>强化财政资金保障，要把生态环境保护作为财政支出的重点领域予以保障，确保资金支持力度与深入打好污染防治攻坚战任务相匹配。围绕生态环境保护的重点难点，资金分配向污染防治重点区域行业、环境治理工作绩效突出重点地区倾斜，提升资金分配精准度和使用效率。加快建立多元化投入机制，加大对环境污染第三方治理、政府和社会资本合作模式的支持力度。积极推广政府和社会资本合作模式，探索以资源开发项目、资源综合利用等收益弥补污染防治项目投入和社会资本回报，吸引社会资本参与，引导各类创业投资企业、股权投资企业、社会捐赠资金和国际援助资金增加投入。综合运用土地、规划、金融、税收、价格、生态补偿、排污权交易、保险等政策手段，充分发挥好市场机制作用，撬动更多社会资本进入生态环境保护领域。</w:t>
      </w:r>
    </w:p>
    <w:p>
      <w:pPr>
        <w:pStyle w:val="10"/>
        <w:tabs>
          <w:tab w:val="right" w:leader="dot" w:pos="8296"/>
        </w:tabs>
        <w:spacing w:line="600" w:lineRule="exact"/>
        <w:ind w:left="0" w:leftChars="0" w:firstLine="642" w:firstLineChars="200"/>
        <w:jc w:val="left"/>
        <w:outlineLvl w:val="1"/>
        <w:rPr>
          <w:rFonts w:ascii="楷体" w:hAnsi="楷体" w:eastAsia="楷体" w:cs="仿宋"/>
          <w:b/>
          <w:color w:val="auto"/>
          <w:sz w:val="32"/>
          <w:szCs w:val="32"/>
        </w:rPr>
      </w:pPr>
      <w:r>
        <w:rPr>
          <w:rFonts w:hint="eastAsia" w:ascii="楷体" w:hAnsi="楷体" w:eastAsia="楷体" w:cs="仿宋"/>
          <w:b/>
          <w:color w:val="auto"/>
          <w:sz w:val="32"/>
          <w:szCs w:val="32"/>
        </w:rPr>
        <w:t>（四）加强宣传引导，动员全民参与</w:t>
      </w:r>
      <w:bookmarkEnd w:id="24"/>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Times New Roman" w:hAnsi="Times New Roman" w:eastAsia="仿宋" w:cs="仿宋"/>
          <w:snapToGrid/>
          <w:color w:val="auto"/>
          <w:kern w:val="2"/>
          <w:sz w:val="32"/>
          <w:szCs w:val="32"/>
          <w:lang w:val="en-US" w:eastAsia="zh-CN" w:bidi="ar-SA"/>
        </w:rPr>
      </w:pPr>
      <w:bookmarkStart w:id="25" w:name="_Toc51315614"/>
      <w:r>
        <w:rPr>
          <w:rFonts w:hint="eastAsia" w:ascii="Times New Roman" w:hAnsi="Times New Roman" w:eastAsia="仿宋" w:cs="仿宋"/>
          <w:snapToGrid/>
          <w:color w:val="auto"/>
          <w:kern w:val="2"/>
          <w:sz w:val="32"/>
          <w:szCs w:val="32"/>
          <w:lang w:val="en-US" w:eastAsia="zh-CN" w:bidi="ar-SA"/>
        </w:rPr>
        <w:t>充分利用广播、电视、报刊、互联网、微信公众号等媒体，加大习近平生态文明思想宣传力度，积极开展生态文明建设与生态环境保护规划、政策法规制度、污染防治攻坚战、中央和省级环保督察、减污降碳、碳达峰碳中和、生物多样性与生物安全保护等主题宣传与交流。挖掘一批先进人物和集体的优秀事迹，做好典型的报道与经验推广。</w:t>
      </w:r>
    </w:p>
    <w:p>
      <w:pPr>
        <w:pStyle w:val="10"/>
        <w:tabs>
          <w:tab w:val="right" w:leader="dot" w:pos="8296"/>
        </w:tabs>
        <w:spacing w:line="600" w:lineRule="exact"/>
        <w:ind w:left="0" w:leftChars="0" w:firstLine="642" w:firstLineChars="200"/>
        <w:jc w:val="left"/>
        <w:outlineLvl w:val="1"/>
        <w:rPr>
          <w:rFonts w:ascii="楷体" w:hAnsi="楷体" w:eastAsia="楷体" w:cs="仿宋"/>
          <w:b/>
          <w:color w:val="auto"/>
          <w:sz w:val="32"/>
          <w:szCs w:val="32"/>
        </w:rPr>
      </w:pPr>
      <w:r>
        <w:rPr>
          <w:rFonts w:hint="eastAsia" w:ascii="楷体" w:hAnsi="楷体" w:eastAsia="楷体" w:cs="仿宋"/>
          <w:b/>
          <w:color w:val="auto"/>
          <w:sz w:val="32"/>
          <w:szCs w:val="32"/>
        </w:rPr>
        <w:t>（五）强化评估考核，促进规划实施</w:t>
      </w:r>
      <w:bookmarkEnd w:id="25"/>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建立规划实施情况年度调度机制，生态环境部门会同相关部门围绕本规划目标指标、重点任务、环境质量改善、重点污染物排放、生态环境保护重大工程进展情况进行调度。分别对规划实施情况进行中期评估和总结评估。依法向</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人民代表大会常务委员会报告规划实施情况，主动接受人大监督。</w:t>
      </w:r>
    </w:p>
    <w:bookmarkEnd w:id="21"/>
    <w:p>
      <w:pPr>
        <w:spacing w:line="600" w:lineRule="exact"/>
        <w:jc w:val="both"/>
        <w:rPr>
          <w:rFonts w:hint="eastAsia" w:ascii="方正公文小标宋" w:hAnsi="方正公文小标宋" w:eastAsia="方正公文小标宋" w:cs="方正公文小标宋"/>
          <w:snapToGrid w:val="0"/>
          <w:color w:val="auto"/>
          <w:sz w:val="32"/>
          <w:szCs w:val="32"/>
        </w:rPr>
      </w:pPr>
    </w:p>
    <w:p>
      <w:pPr>
        <w:spacing w:line="600" w:lineRule="exact"/>
        <w:jc w:val="center"/>
        <w:rPr>
          <w:rFonts w:hint="eastAsia" w:ascii="方正公文小标宋" w:hAnsi="方正公文小标宋" w:eastAsia="方正公文小标宋" w:cs="方正公文小标宋"/>
          <w:snapToGrid w:val="0"/>
          <w:color w:val="auto"/>
          <w:sz w:val="32"/>
          <w:szCs w:val="32"/>
        </w:rPr>
      </w:pPr>
    </w:p>
    <w:p>
      <w:pPr>
        <w:spacing w:line="600" w:lineRule="exact"/>
        <w:jc w:val="center"/>
        <w:rPr>
          <w:rFonts w:hint="eastAsia" w:ascii="方正公文小标宋" w:hAnsi="方正公文小标宋" w:eastAsia="方正公文小标宋" w:cs="方正公文小标宋"/>
          <w:snapToGrid w:val="0"/>
          <w:color w:val="auto"/>
          <w:sz w:val="32"/>
          <w:szCs w:val="32"/>
        </w:rPr>
      </w:pPr>
    </w:p>
    <w:p>
      <w:pPr>
        <w:spacing w:line="600" w:lineRule="exact"/>
        <w:jc w:val="center"/>
        <w:rPr>
          <w:rFonts w:hint="eastAsia" w:ascii="方正公文小标宋" w:hAnsi="方正公文小标宋" w:eastAsia="方正公文小标宋" w:cs="方正公文小标宋"/>
          <w:snapToGrid w:val="0"/>
          <w:color w:val="auto"/>
          <w:sz w:val="32"/>
          <w:szCs w:val="32"/>
        </w:rPr>
      </w:pPr>
    </w:p>
    <w:p>
      <w:pPr>
        <w:spacing w:line="600" w:lineRule="exact"/>
        <w:jc w:val="center"/>
        <w:rPr>
          <w:rFonts w:hint="eastAsia" w:ascii="方正公文小标宋" w:hAnsi="方正公文小标宋" w:eastAsia="方正公文小标宋" w:cs="方正公文小标宋"/>
          <w:snapToGrid w:val="0"/>
          <w:color w:val="auto"/>
          <w:sz w:val="32"/>
          <w:szCs w:val="32"/>
        </w:rPr>
      </w:pPr>
    </w:p>
    <w:p>
      <w:pPr>
        <w:spacing w:line="600" w:lineRule="exact"/>
        <w:jc w:val="center"/>
        <w:rPr>
          <w:rFonts w:hint="eastAsia" w:ascii="方正公文小标宋" w:hAnsi="方正公文小标宋" w:eastAsia="方正公文小标宋" w:cs="方正公文小标宋"/>
          <w:snapToGrid w:val="0"/>
          <w:color w:val="auto"/>
          <w:sz w:val="32"/>
          <w:szCs w:val="32"/>
        </w:rPr>
      </w:pPr>
    </w:p>
    <w:p>
      <w:pPr>
        <w:spacing w:line="600" w:lineRule="exact"/>
        <w:jc w:val="center"/>
        <w:rPr>
          <w:rFonts w:hint="eastAsia" w:ascii="方正公文小标宋" w:hAnsi="方正公文小标宋" w:eastAsia="方正公文小标宋" w:cs="方正公文小标宋"/>
          <w:snapToGrid w:val="0"/>
          <w:color w:val="auto"/>
          <w:sz w:val="32"/>
          <w:szCs w:val="32"/>
        </w:rPr>
      </w:pPr>
    </w:p>
    <w:p>
      <w:pPr>
        <w:spacing w:line="600" w:lineRule="exact"/>
        <w:jc w:val="center"/>
        <w:rPr>
          <w:rFonts w:hint="eastAsia" w:ascii="方正公文小标宋" w:hAnsi="方正公文小标宋" w:eastAsia="方正公文小标宋" w:cs="方正公文小标宋"/>
          <w:snapToGrid w:val="0"/>
          <w:color w:val="auto"/>
          <w:sz w:val="32"/>
          <w:szCs w:val="32"/>
        </w:rPr>
      </w:pPr>
    </w:p>
    <w:p>
      <w:pPr>
        <w:spacing w:line="600" w:lineRule="exact"/>
        <w:jc w:val="center"/>
        <w:rPr>
          <w:rFonts w:hint="eastAsia" w:ascii="方正公文小标宋" w:hAnsi="方正公文小标宋" w:eastAsia="方正公文小标宋" w:cs="方正公文小标宋"/>
          <w:snapToGrid w:val="0"/>
          <w:color w:val="auto"/>
          <w:sz w:val="32"/>
          <w:szCs w:val="32"/>
        </w:rPr>
      </w:pPr>
    </w:p>
    <w:p>
      <w:pPr>
        <w:spacing w:line="600" w:lineRule="exact"/>
        <w:jc w:val="center"/>
        <w:rPr>
          <w:rFonts w:hint="eastAsia" w:ascii="方正公文小标宋" w:hAnsi="方正公文小标宋" w:eastAsia="方正公文小标宋" w:cs="方正公文小标宋"/>
          <w:snapToGrid w:val="0"/>
          <w:color w:val="auto"/>
          <w:sz w:val="32"/>
          <w:szCs w:val="32"/>
        </w:rPr>
      </w:pPr>
    </w:p>
    <w:p>
      <w:pPr>
        <w:spacing w:line="600" w:lineRule="exact"/>
        <w:jc w:val="center"/>
        <w:rPr>
          <w:rFonts w:hint="eastAsia" w:ascii="方正公文小标宋" w:hAnsi="方正公文小标宋" w:eastAsia="方正公文小标宋" w:cs="方正公文小标宋"/>
          <w:snapToGrid w:val="0"/>
          <w:color w:val="auto"/>
          <w:sz w:val="32"/>
          <w:szCs w:val="32"/>
        </w:rPr>
      </w:pPr>
    </w:p>
    <w:p>
      <w:pPr>
        <w:spacing w:line="600" w:lineRule="exact"/>
        <w:jc w:val="center"/>
        <w:rPr>
          <w:rFonts w:hint="eastAsia" w:ascii="方正公文小标宋" w:hAnsi="方正公文小标宋" w:eastAsia="方正公文小标宋" w:cs="方正公文小标宋"/>
          <w:snapToGrid w:val="0"/>
          <w:color w:val="auto"/>
          <w:sz w:val="32"/>
          <w:szCs w:val="32"/>
        </w:rPr>
      </w:pPr>
    </w:p>
    <w:p>
      <w:pPr>
        <w:spacing w:line="600" w:lineRule="exact"/>
        <w:jc w:val="center"/>
        <w:rPr>
          <w:rFonts w:hint="eastAsia" w:ascii="方正公文小标宋" w:hAnsi="方正公文小标宋" w:eastAsia="方正公文小标宋" w:cs="方正公文小标宋"/>
          <w:snapToGrid w:val="0"/>
          <w:color w:val="auto"/>
          <w:sz w:val="32"/>
          <w:szCs w:val="32"/>
        </w:rPr>
      </w:pPr>
    </w:p>
    <w:p>
      <w:pPr>
        <w:spacing w:line="600" w:lineRule="exact"/>
        <w:jc w:val="center"/>
        <w:rPr>
          <w:rFonts w:hint="eastAsia" w:ascii="方正公文小标宋" w:hAnsi="方正公文小标宋" w:eastAsia="方正公文小标宋" w:cs="方正公文小标宋"/>
          <w:snapToGrid w:val="0"/>
          <w:color w:val="auto"/>
          <w:sz w:val="32"/>
          <w:szCs w:val="32"/>
        </w:rPr>
      </w:pPr>
    </w:p>
    <w:p>
      <w:pPr>
        <w:spacing w:line="600" w:lineRule="exact"/>
        <w:jc w:val="center"/>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snapToGrid w:val="0"/>
          <w:color w:val="auto"/>
          <w:sz w:val="32"/>
          <w:szCs w:val="32"/>
        </w:rPr>
        <w:t>规划重点工程附表</w:t>
      </w:r>
    </w:p>
    <w:p>
      <w:pPr>
        <w:jc w:val="left"/>
        <w:rPr>
          <w:rFonts w:hint="eastAsia" w:ascii="方正公文小标宋" w:hAnsi="方正公文小标宋" w:eastAsia="方正公文小标宋" w:cs="方正公文小标宋"/>
          <w:b w:val="0"/>
          <w:bCs/>
          <w:color w:val="auto"/>
          <w:sz w:val="28"/>
          <w:szCs w:val="28"/>
        </w:rPr>
      </w:pPr>
      <w:bookmarkStart w:id="26" w:name="_Toc18857"/>
      <w:bookmarkStart w:id="27" w:name="_Toc669"/>
      <w:bookmarkStart w:id="28" w:name="_Toc20162"/>
      <w:bookmarkStart w:id="29" w:name="_Toc51315604"/>
      <w:r>
        <w:rPr>
          <w:rFonts w:hint="eastAsia" w:ascii="方正公文小标宋" w:hAnsi="方正公文小标宋" w:eastAsia="方正公文小标宋" w:cs="方正公文小标宋"/>
          <w:b w:val="0"/>
          <w:bCs/>
          <w:color w:val="auto"/>
          <w:sz w:val="28"/>
          <w:szCs w:val="28"/>
        </w:rPr>
        <w:t>表一：生活污水治理工程计划表</w:t>
      </w:r>
    </w:p>
    <w:tbl>
      <w:tblPr>
        <w:tblStyle w:val="15"/>
        <w:tblW w:w="9204" w:type="dxa"/>
        <w:tblInd w:w="-73"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75"/>
        <w:gridCol w:w="618"/>
        <w:gridCol w:w="2283"/>
        <w:gridCol w:w="4219"/>
        <w:gridCol w:w="631"/>
        <w:gridCol w:w="87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600" w:hRule="atLeast"/>
        </w:trPr>
        <w:tc>
          <w:tcPr>
            <w:tcW w:w="575" w:type="dxa"/>
            <w:tcBorders>
              <w:top w:val="single" w:color="auto" w:sz="4" w:space="0"/>
              <w:left w:val="single" w:color="auto" w:sz="4" w:space="0"/>
              <w:tl2br w:val="nil"/>
              <w:tr2bl w:val="nil"/>
            </w:tcBorders>
            <w:tcMar>
              <w:top w:w="10" w:type="dxa"/>
              <w:left w:w="10" w:type="dxa"/>
              <w:right w:w="10" w:type="dxa"/>
            </w:tcMar>
            <w:vAlign w:val="center"/>
          </w:tcPr>
          <w:p>
            <w:pPr>
              <w:widowControl/>
              <w:jc w:val="center"/>
              <w:textAlignment w:val="center"/>
              <w:rPr>
                <w:rFonts w:ascii="宋体" w:hAnsi="宋体" w:cs="宋体"/>
                <w:color w:val="auto"/>
                <w:kern w:val="0"/>
              </w:rPr>
            </w:pPr>
            <w:r>
              <w:rPr>
                <w:rFonts w:hint="eastAsia" w:ascii="宋体" w:hAnsi="宋体" w:cs="宋体"/>
                <w:color w:val="auto"/>
                <w:kern w:val="0"/>
              </w:rPr>
              <w:t>序号</w:t>
            </w:r>
          </w:p>
        </w:tc>
        <w:tc>
          <w:tcPr>
            <w:tcW w:w="618" w:type="dxa"/>
            <w:tcBorders>
              <w:top w:val="single" w:color="auto" w:sz="4" w:space="0"/>
              <w:tl2br w:val="nil"/>
              <w:tr2bl w:val="nil"/>
            </w:tcBorders>
            <w:tcMar>
              <w:top w:w="10" w:type="dxa"/>
              <w:left w:w="10" w:type="dxa"/>
              <w:right w:w="10" w:type="dxa"/>
            </w:tcMar>
            <w:vAlign w:val="center"/>
          </w:tcPr>
          <w:p>
            <w:pPr>
              <w:widowControl/>
              <w:jc w:val="center"/>
              <w:textAlignment w:val="center"/>
              <w:rPr>
                <w:rFonts w:ascii="宋体" w:hAnsi="宋体" w:cs="宋体"/>
                <w:color w:val="auto"/>
                <w:kern w:val="0"/>
              </w:rPr>
            </w:pPr>
            <w:r>
              <w:rPr>
                <w:rFonts w:hint="eastAsia" w:ascii="宋体" w:hAnsi="宋体" w:cs="宋体"/>
                <w:color w:val="auto"/>
                <w:kern w:val="0"/>
              </w:rPr>
              <w:t>项目类别</w:t>
            </w:r>
          </w:p>
        </w:tc>
        <w:tc>
          <w:tcPr>
            <w:tcW w:w="2283" w:type="dxa"/>
            <w:tcBorders>
              <w:top w:val="single" w:color="auto" w:sz="4" w:space="0"/>
              <w:tl2br w:val="nil"/>
              <w:tr2bl w:val="nil"/>
            </w:tcBorders>
            <w:tcMar>
              <w:top w:w="10" w:type="dxa"/>
              <w:left w:w="10" w:type="dxa"/>
              <w:right w:w="10" w:type="dxa"/>
            </w:tcMar>
            <w:vAlign w:val="center"/>
          </w:tcPr>
          <w:p>
            <w:pPr>
              <w:widowControl/>
              <w:jc w:val="center"/>
              <w:textAlignment w:val="center"/>
              <w:rPr>
                <w:rFonts w:ascii="宋体" w:hAnsi="宋体" w:cs="宋体"/>
                <w:color w:val="auto"/>
                <w:kern w:val="0"/>
              </w:rPr>
            </w:pPr>
            <w:r>
              <w:rPr>
                <w:rFonts w:hint="eastAsia" w:ascii="宋体" w:hAnsi="宋体" w:cs="宋体"/>
                <w:color w:val="auto"/>
                <w:kern w:val="0"/>
              </w:rPr>
              <w:t>项目名称</w:t>
            </w:r>
          </w:p>
        </w:tc>
        <w:tc>
          <w:tcPr>
            <w:tcW w:w="4219" w:type="dxa"/>
            <w:tcBorders>
              <w:top w:val="single" w:color="auto" w:sz="4" w:space="0"/>
              <w:tl2br w:val="nil"/>
              <w:tr2bl w:val="nil"/>
            </w:tcBorders>
            <w:tcMar>
              <w:top w:w="10" w:type="dxa"/>
              <w:left w:w="10" w:type="dxa"/>
              <w:right w:w="10" w:type="dxa"/>
            </w:tcMar>
            <w:vAlign w:val="center"/>
          </w:tcPr>
          <w:p>
            <w:pPr>
              <w:widowControl/>
              <w:jc w:val="center"/>
              <w:textAlignment w:val="center"/>
              <w:rPr>
                <w:rFonts w:ascii="宋体" w:hAnsi="宋体" w:cs="宋体"/>
                <w:color w:val="auto"/>
                <w:kern w:val="0"/>
              </w:rPr>
            </w:pPr>
            <w:r>
              <w:rPr>
                <w:rFonts w:hint="eastAsia" w:ascii="宋体" w:hAnsi="宋体" w:cs="宋体"/>
                <w:color w:val="auto"/>
                <w:kern w:val="0"/>
              </w:rPr>
              <w:t>项目内容</w:t>
            </w:r>
          </w:p>
        </w:tc>
        <w:tc>
          <w:tcPr>
            <w:tcW w:w="631" w:type="dxa"/>
            <w:tcBorders>
              <w:top w:val="single" w:color="auto" w:sz="4" w:space="0"/>
              <w:tl2br w:val="nil"/>
              <w:tr2bl w:val="nil"/>
            </w:tcBorders>
            <w:tcMar>
              <w:top w:w="10" w:type="dxa"/>
              <w:left w:w="10" w:type="dxa"/>
              <w:right w:w="10" w:type="dxa"/>
            </w:tcMar>
            <w:vAlign w:val="center"/>
          </w:tcPr>
          <w:p>
            <w:pPr>
              <w:widowControl/>
              <w:jc w:val="center"/>
              <w:textAlignment w:val="center"/>
              <w:rPr>
                <w:rFonts w:ascii="宋体" w:hAnsi="宋体" w:cs="宋体"/>
                <w:color w:val="auto"/>
                <w:kern w:val="0"/>
              </w:rPr>
            </w:pPr>
            <w:r>
              <w:rPr>
                <w:rFonts w:hint="eastAsia" w:ascii="宋体" w:hAnsi="宋体" w:cs="宋体"/>
                <w:color w:val="auto"/>
                <w:kern w:val="0"/>
              </w:rPr>
              <w:t>完成</w:t>
            </w:r>
          </w:p>
          <w:p>
            <w:pPr>
              <w:widowControl/>
              <w:jc w:val="center"/>
              <w:textAlignment w:val="center"/>
              <w:rPr>
                <w:rFonts w:ascii="宋体" w:hAnsi="宋体" w:cs="宋体"/>
                <w:color w:val="auto"/>
                <w:kern w:val="0"/>
              </w:rPr>
            </w:pPr>
            <w:r>
              <w:rPr>
                <w:rFonts w:hint="eastAsia" w:ascii="宋体" w:hAnsi="宋体" w:cs="宋体"/>
                <w:color w:val="auto"/>
                <w:kern w:val="0"/>
              </w:rPr>
              <w:t>年限（年）</w:t>
            </w:r>
          </w:p>
        </w:tc>
        <w:tc>
          <w:tcPr>
            <w:tcW w:w="878" w:type="dxa"/>
            <w:tcBorders>
              <w:top w:val="single" w:color="auto" w:sz="4" w:space="0"/>
              <w:right w:val="single" w:color="auto" w:sz="4" w:space="0"/>
              <w:tl2br w:val="nil"/>
              <w:tr2bl w:val="nil"/>
            </w:tcBorders>
            <w:tcMar>
              <w:top w:w="10" w:type="dxa"/>
              <w:left w:w="10" w:type="dxa"/>
              <w:right w:w="10" w:type="dxa"/>
            </w:tcMar>
            <w:vAlign w:val="center"/>
          </w:tcPr>
          <w:p>
            <w:pPr>
              <w:widowControl/>
              <w:jc w:val="center"/>
              <w:textAlignment w:val="center"/>
              <w:rPr>
                <w:rFonts w:ascii="宋体" w:hAnsi="宋体" w:cs="宋体"/>
                <w:color w:val="auto"/>
                <w:kern w:val="0"/>
              </w:rPr>
            </w:pPr>
            <w:r>
              <w:rPr>
                <w:rFonts w:hint="eastAsia" w:ascii="宋体" w:hAnsi="宋体" w:cs="宋体"/>
                <w:color w:val="auto"/>
                <w:kern w:val="0"/>
              </w:rPr>
              <w:t>投资</w:t>
            </w:r>
          </w:p>
          <w:p>
            <w:pPr>
              <w:widowControl/>
              <w:jc w:val="center"/>
              <w:textAlignment w:val="center"/>
              <w:rPr>
                <w:rFonts w:ascii="宋体" w:hAnsi="宋体" w:cs="宋体"/>
                <w:color w:val="auto"/>
                <w:kern w:val="0"/>
              </w:rPr>
            </w:pPr>
            <w:r>
              <w:rPr>
                <w:rFonts w:hint="eastAsia" w:ascii="宋体" w:hAnsi="宋体" w:cs="宋体"/>
                <w:color w:val="auto"/>
                <w:kern w:val="0"/>
              </w:rPr>
              <w:t>（万元）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575" w:type="dxa"/>
            <w:tcBorders>
              <w:top w:val="single" w:color="auto" w:sz="4" w:space="0"/>
              <w:left w:val="single" w:color="auto" w:sz="4" w:space="0"/>
              <w:bottom w:val="single" w:color="auto" w:sz="4" w:space="0"/>
              <w:right w:val="single" w:color="auto" w:sz="4" w:space="0"/>
              <w:tl2br w:val="nil"/>
              <w:tr2bl w:val="nil"/>
            </w:tcBorders>
            <w:tcMar>
              <w:top w:w="10" w:type="dxa"/>
              <w:left w:w="10" w:type="dxa"/>
              <w:right w:w="10" w:type="dxa"/>
            </w:tcMar>
            <w:vAlign w:val="center"/>
          </w:tcPr>
          <w:p>
            <w:pPr>
              <w:widowControl/>
              <w:jc w:val="both"/>
              <w:textAlignment w:val="center"/>
              <w:rPr>
                <w:rFonts w:hint="eastAsia" w:ascii="宋体" w:hAnsi="宋体" w:eastAsia="宋体" w:cs="宋体"/>
                <w:color w:val="auto"/>
              </w:rPr>
            </w:pPr>
            <w:r>
              <w:rPr>
                <w:rFonts w:hint="eastAsia" w:ascii="宋体" w:hAnsi="宋体" w:eastAsia="宋体" w:cs="宋体"/>
                <w:color w:val="auto"/>
              </w:rPr>
              <w:t>1</w:t>
            </w:r>
          </w:p>
        </w:tc>
        <w:tc>
          <w:tcPr>
            <w:tcW w:w="618" w:type="dxa"/>
            <w:tcBorders>
              <w:left w:val="single" w:color="auto" w:sz="4" w:space="0"/>
              <w:bottom w:val="single" w:color="auto" w:sz="4" w:space="0"/>
              <w:right w:val="single" w:color="auto" w:sz="4" w:space="0"/>
              <w:tl2br w:val="nil"/>
              <w:tr2bl w:val="nil"/>
            </w:tcBorders>
            <w:tcMar>
              <w:top w:w="10" w:type="dxa"/>
              <w:left w:w="10" w:type="dxa"/>
              <w:right w:w="10" w:type="dxa"/>
            </w:tcMar>
            <w:vAlign w:val="center"/>
          </w:tcPr>
          <w:p>
            <w:pPr>
              <w:widowControl/>
              <w:jc w:val="left"/>
              <w:textAlignment w:val="center"/>
              <w:rPr>
                <w:rFonts w:ascii="宋体" w:hAnsi="宋体" w:cs="宋体"/>
                <w:b/>
                <w:bCs/>
                <w:color w:val="auto"/>
              </w:rPr>
            </w:pPr>
          </w:p>
        </w:tc>
        <w:tc>
          <w:tcPr>
            <w:tcW w:w="2283" w:type="dxa"/>
            <w:tcBorders>
              <w:top w:val="single" w:color="auto" w:sz="4" w:space="0"/>
              <w:left w:val="single" w:color="auto" w:sz="4" w:space="0"/>
              <w:bottom w:val="single" w:color="auto" w:sz="4" w:space="0"/>
              <w:right w:val="single" w:color="auto" w:sz="4" w:space="0"/>
              <w:tl2br w:val="nil"/>
              <w:tr2bl w:val="nil"/>
            </w:tcBorders>
            <w:tcMar>
              <w:top w:w="10" w:type="dxa"/>
              <w:left w:w="10" w:type="dxa"/>
              <w:right w:w="10" w:type="dxa"/>
            </w:tcMar>
            <w:vAlign w:val="center"/>
          </w:tcPr>
          <w:p>
            <w:pPr>
              <w:widowControl/>
              <w:jc w:val="left"/>
              <w:textAlignment w:val="center"/>
              <w:rPr>
                <w:rFonts w:ascii="宋体" w:hAnsi="宋体" w:cs="宋体"/>
                <w:color w:val="auto"/>
              </w:rPr>
            </w:pPr>
            <w:r>
              <w:rPr>
                <w:rFonts w:hint="eastAsia" w:ascii="宋体" w:hAnsi="宋体" w:cs="宋体"/>
                <w:color w:val="auto"/>
                <w:kern w:val="0"/>
              </w:rPr>
              <w:t>鸡东县化工产业园污水处理厂建设项目</w:t>
            </w:r>
          </w:p>
        </w:tc>
        <w:tc>
          <w:tcPr>
            <w:tcW w:w="4219" w:type="dxa"/>
            <w:tcBorders>
              <w:top w:val="single" w:color="auto" w:sz="4" w:space="0"/>
              <w:left w:val="single" w:color="auto" w:sz="4" w:space="0"/>
              <w:bottom w:val="single" w:color="auto" w:sz="4" w:space="0"/>
              <w:right w:val="single" w:color="auto" w:sz="4" w:space="0"/>
              <w:tl2br w:val="nil"/>
              <w:tr2bl w:val="nil"/>
            </w:tcBorders>
            <w:tcMar>
              <w:top w:w="10" w:type="dxa"/>
              <w:left w:w="10" w:type="dxa"/>
              <w:right w:w="10" w:type="dxa"/>
            </w:tcMar>
            <w:vAlign w:val="center"/>
          </w:tcPr>
          <w:p>
            <w:pPr>
              <w:widowControl/>
              <w:jc w:val="left"/>
              <w:textAlignment w:val="center"/>
              <w:rPr>
                <w:rFonts w:ascii="宋体" w:hAnsi="宋体" w:cs="宋体"/>
                <w:color w:val="auto"/>
              </w:rPr>
            </w:pPr>
            <w:r>
              <w:rPr>
                <w:rFonts w:hint="eastAsia" w:ascii="宋体" w:hAnsi="宋体" w:cs="宋体"/>
                <w:color w:val="auto"/>
                <w:kern w:val="0"/>
              </w:rPr>
              <w:t>污水处理能力1.5万吨/日，项目占地5公顷。</w:t>
            </w:r>
          </w:p>
        </w:tc>
        <w:tc>
          <w:tcPr>
            <w:tcW w:w="631" w:type="dxa"/>
            <w:tcBorders>
              <w:top w:val="single" w:color="auto" w:sz="4" w:space="0"/>
              <w:left w:val="single" w:color="auto" w:sz="4" w:space="0"/>
              <w:bottom w:val="single" w:color="auto" w:sz="4" w:space="0"/>
              <w:right w:val="single" w:color="auto" w:sz="4" w:space="0"/>
              <w:tl2br w:val="nil"/>
              <w:tr2bl w:val="nil"/>
            </w:tcBorders>
            <w:tcMar>
              <w:top w:w="10" w:type="dxa"/>
              <w:left w:w="10" w:type="dxa"/>
              <w:right w:w="10" w:type="dxa"/>
            </w:tcMar>
            <w:vAlign w:val="center"/>
          </w:tcPr>
          <w:p>
            <w:pPr>
              <w:widowControl/>
              <w:jc w:val="left"/>
              <w:textAlignment w:val="center"/>
              <w:rPr>
                <w:rFonts w:ascii="宋体" w:hAnsi="宋体" w:cs="宋体"/>
                <w:color w:val="auto"/>
              </w:rPr>
            </w:pPr>
            <w:r>
              <w:rPr>
                <w:rFonts w:hint="eastAsia" w:ascii="宋体" w:hAnsi="宋体" w:cs="宋体"/>
                <w:color w:val="auto"/>
                <w:kern w:val="0"/>
              </w:rPr>
              <w:t>2022</w:t>
            </w:r>
          </w:p>
        </w:tc>
        <w:tc>
          <w:tcPr>
            <w:tcW w:w="878" w:type="dxa"/>
            <w:tcBorders>
              <w:top w:val="single" w:color="auto" w:sz="4" w:space="0"/>
              <w:left w:val="single" w:color="auto" w:sz="4" w:space="0"/>
              <w:bottom w:val="single" w:color="auto" w:sz="4" w:space="0"/>
              <w:right w:val="single" w:color="auto" w:sz="4" w:space="0"/>
              <w:tl2br w:val="nil"/>
              <w:tr2bl w:val="nil"/>
            </w:tcBorders>
            <w:tcMar>
              <w:top w:w="10" w:type="dxa"/>
              <w:left w:w="10" w:type="dxa"/>
              <w:right w:w="10" w:type="dxa"/>
            </w:tcMar>
            <w:vAlign w:val="center"/>
          </w:tcPr>
          <w:p>
            <w:pPr>
              <w:widowControl/>
              <w:jc w:val="left"/>
              <w:textAlignment w:val="center"/>
              <w:rPr>
                <w:rFonts w:hint="default" w:ascii="宋体" w:hAnsi="宋体" w:cs="宋体"/>
                <w:color w:val="auto"/>
              </w:rPr>
            </w:pPr>
            <w:r>
              <w:rPr>
                <w:rFonts w:hint="eastAsia" w:ascii="宋体" w:hAnsi="宋体" w:cs="宋体"/>
                <w:color w:val="auto"/>
              </w:rPr>
              <w:t>1183</w:t>
            </w:r>
            <w:r>
              <w:rPr>
                <w:rFonts w:hint="default" w:ascii="宋体" w:hAnsi="宋体" w:cs="宋体"/>
                <w:color w:val="auto"/>
              </w:rPr>
              <w:t>2</w:t>
            </w:r>
          </w:p>
        </w:tc>
      </w:tr>
      <w:bookmarkEnd w:id="26"/>
      <w:bookmarkEnd w:id="27"/>
      <w:bookmarkEnd w:id="28"/>
    </w:tbl>
    <w:p>
      <w:pPr>
        <w:pStyle w:val="10"/>
        <w:tabs>
          <w:tab w:val="right" w:leader="dot" w:pos="8296"/>
        </w:tabs>
        <w:spacing w:line="600" w:lineRule="exact"/>
        <w:ind w:left="0" w:leftChars="0" w:firstLine="0" w:firstLineChars="0"/>
        <w:jc w:val="left"/>
        <w:outlineLvl w:val="1"/>
        <w:rPr>
          <w:rFonts w:hint="eastAsia" w:ascii="方正公文小标宋" w:hAnsi="方正公文小标宋" w:eastAsia="方正公文小标宋" w:cs="方正公文小标宋"/>
          <w:b w:val="0"/>
          <w:bCs/>
          <w:snapToGrid/>
          <w:color w:val="auto"/>
          <w:kern w:val="2"/>
          <w:sz w:val="28"/>
          <w:szCs w:val="28"/>
          <w:lang w:val="en-US" w:eastAsia="zh-CN" w:bidi="ar-SA"/>
        </w:rPr>
      </w:pPr>
      <w:r>
        <w:rPr>
          <w:rFonts w:hint="default" w:ascii="方正公文小标宋" w:hAnsi="方正公文小标宋" w:eastAsia="方正公文小标宋" w:cs="方正公文小标宋"/>
          <w:b w:val="0"/>
          <w:bCs/>
          <w:snapToGrid/>
          <w:color w:val="auto"/>
          <w:kern w:val="2"/>
          <w:sz w:val="28"/>
          <w:szCs w:val="28"/>
          <w:lang w:eastAsia="zh-CN" w:bidi="ar-SA"/>
        </w:rPr>
        <w:t>表二：</w:t>
      </w:r>
      <w:bookmarkEnd w:id="29"/>
      <w:bookmarkStart w:id="30" w:name="_Toc51315605"/>
      <w:r>
        <w:rPr>
          <w:rFonts w:hint="eastAsia" w:ascii="方正公文小标宋" w:hAnsi="方正公文小标宋" w:eastAsia="方正公文小标宋" w:cs="方正公文小标宋"/>
          <w:b w:val="0"/>
          <w:bCs/>
          <w:snapToGrid/>
          <w:color w:val="auto"/>
          <w:kern w:val="2"/>
          <w:sz w:val="28"/>
          <w:szCs w:val="28"/>
          <w:lang w:val="en-US" w:eastAsia="zh-CN" w:bidi="ar-SA"/>
        </w:rPr>
        <w:t>鸡东县脱硝治理重点工程项目表</w:t>
      </w:r>
    </w:p>
    <w:tbl>
      <w:tblPr>
        <w:tblStyle w:val="15"/>
        <w:tblW w:w="9131" w:type="dxa"/>
        <w:jc w:val="center"/>
        <w:tblLayout w:type="fixed"/>
        <w:tblCellMar>
          <w:top w:w="15" w:type="dxa"/>
          <w:left w:w="15" w:type="dxa"/>
          <w:bottom w:w="15" w:type="dxa"/>
          <w:right w:w="15" w:type="dxa"/>
        </w:tblCellMar>
      </w:tblPr>
      <w:tblGrid>
        <w:gridCol w:w="694"/>
        <w:gridCol w:w="2178"/>
        <w:gridCol w:w="3589"/>
        <w:gridCol w:w="2670"/>
      </w:tblGrid>
      <w:tr>
        <w:tblPrEx>
          <w:tblCellMar>
            <w:top w:w="15" w:type="dxa"/>
            <w:left w:w="15" w:type="dxa"/>
            <w:bottom w:w="15" w:type="dxa"/>
            <w:right w:w="15" w:type="dxa"/>
          </w:tblCellMar>
        </w:tblPrEx>
        <w:trPr>
          <w:trHeight w:val="39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rPr>
            </w:pPr>
            <w:r>
              <w:rPr>
                <w:rFonts w:hint="eastAsia" w:ascii="宋体" w:hAnsi="宋体" w:cs="宋体"/>
                <w:color w:val="auto"/>
                <w:kern w:val="0"/>
              </w:rPr>
              <w:t>序号</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rPr>
            </w:pPr>
            <w:r>
              <w:rPr>
                <w:rFonts w:ascii="宋体" w:hAnsi="宋体" w:cs="宋体"/>
                <w:color w:val="auto"/>
                <w:kern w:val="0"/>
              </w:rPr>
              <w:t>所在区县</w:t>
            </w:r>
          </w:p>
        </w:tc>
        <w:tc>
          <w:tcPr>
            <w:tcW w:w="358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rPr>
            </w:pPr>
            <w:r>
              <w:rPr>
                <w:rFonts w:ascii="宋体" w:hAnsi="宋体" w:cs="宋体"/>
                <w:color w:val="auto"/>
                <w:kern w:val="0"/>
              </w:rPr>
              <w:t>单位名称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rPr>
            </w:pPr>
            <w:r>
              <w:rPr>
                <w:rFonts w:hint="eastAsia" w:ascii="宋体" w:hAnsi="宋体" w:cs="宋体"/>
                <w:color w:val="auto"/>
                <w:kern w:val="0"/>
              </w:rPr>
              <w:t>计划完成时间（年）</w:t>
            </w:r>
          </w:p>
        </w:tc>
      </w:tr>
      <w:tr>
        <w:tblPrEx>
          <w:tblCellMar>
            <w:top w:w="15" w:type="dxa"/>
            <w:left w:w="15" w:type="dxa"/>
            <w:bottom w:w="15" w:type="dxa"/>
            <w:right w:w="15" w:type="dxa"/>
          </w:tblCellMar>
        </w:tblPrEx>
        <w:trPr>
          <w:trHeight w:val="9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rPr>
            </w:pPr>
            <w:r>
              <w:rPr>
                <w:rFonts w:ascii="宋体" w:hAnsi="宋体" w:cs="宋体"/>
                <w:color w:val="auto"/>
                <w:kern w:val="0"/>
              </w:rPr>
              <w:t>1</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rPr>
            </w:pPr>
            <w:r>
              <w:rPr>
                <w:rFonts w:hint="eastAsia" w:ascii="宋体" w:hAnsi="宋体" w:cs="宋体"/>
                <w:color w:val="auto"/>
                <w:kern w:val="0"/>
              </w:rPr>
              <w:t>鸡东县</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rPr>
            </w:pPr>
            <w:r>
              <w:rPr>
                <w:rFonts w:hint="eastAsia" w:ascii="宋体" w:hAnsi="宋体" w:cs="宋体"/>
                <w:color w:val="auto"/>
                <w:kern w:val="0"/>
              </w:rPr>
              <w:t>黑龙江畅峰焦化有限公司</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lang w:eastAsia="zh-CN"/>
              </w:rPr>
            </w:pPr>
            <w:r>
              <w:rPr>
                <w:rFonts w:hint="eastAsia" w:ascii="宋体" w:hAnsi="宋体" w:cs="宋体"/>
                <w:color w:val="auto"/>
                <w:kern w:val="0"/>
              </w:rPr>
              <w:t>202</w:t>
            </w:r>
            <w:r>
              <w:rPr>
                <w:rFonts w:hint="eastAsia" w:ascii="宋体" w:hAnsi="宋体" w:cs="宋体"/>
                <w:color w:val="auto"/>
                <w:kern w:val="0"/>
                <w:lang w:val="en-US" w:eastAsia="zh-CN"/>
              </w:rPr>
              <w:t>4</w:t>
            </w:r>
          </w:p>
        </w:tc>
      </w:tr>
    </w:tbl>
    <w:p>
      <w:pPr>
        <w:rPr>
          <w:rFonts w:ascii="宋体" w:hAnsi="宋体" w:cs="仿宋"/>
          <w:color w:val="auto"/>
        </w:rPr>
      </w:pPr>
    </w:p>
    <w:p>
      <w:pPr>
        <w:jc w:val="left"/>
        <w:rPr>
          <w:rFonts w:hint="default" w:ascii="方正公文小标宋" w:hAnsi="方正公文小标宋" w:eastAsia="方正公文小标宋" w:cs="方正公文小标宋"/>
          <w:b w:val="0"/>
          <w:bCs/>
          <w:snapToGrid/>
          <w:color w:val="auto"/>
          <w:kern w:val="2"/>
          <w:sz w:val="28"/>
          <w:szCs w:val="28"/>
          <w:lang w:eastAsia="zh-CN" w:bidi="ar-SA"/>
        </w:rPr>
      </w:pPr>
      <w:r>
        <w:rPr>
          <w:rFonts w:hint="default" w:ascii="方正公文小标宋" w:hAnsi="方正公文小标宋" w:eastAsia="方正公文小标宋" w:cs="方正公文小标宋"/>
          <w:b w:val="0"/>
          <w:bCs/>
          <w:snapToGrid/>
          <w:color w:val="auto"/>
          <w:kern w:val="2"/>
          <w:sz w:val="28"/>
          <w:szCs w:val="28"/>
          <w:lang w:eastAsia="zh-CN" w:bidi="ar-SA"/>
        </w:rPr>
        <w:t>表四：</w:t>
      </w:r>
      <w:r>
        <w:rPr>
          <w:rFonts w:hint="eastAsia" w:ascii="方正公文小标宋" w:hAnsi="方正公文小标宋" w:eastAsia="方正公文小标宋" w:cs="方正公文小标宋"/>
          <w:b w:val="0"/>
          <w:bCs/>
          <w:snapToGrid/>
          <w:color w:val="auto"/>
          <w:kern w:val="2"/>
          <w:sz w:val="28"/>
          <w:szCs w:val="28"/>
          <w:lang w:eastAsia="zh-CN" w:bidi="ar-SA"/>
        </w:rPr>
        <w:t>鸡东县VOCs（挥发性有机物）治理重点工程项目表</w:t>
      </w:r>
    </w:p>
    <w:tbl>
      <w:tblPr>
        <w:tblStyle w:val="15"/>
        <w:tblW w:w="9086" w:type="dxa"/>
        <w:jc w:val="center"/>
        <w:tblLayout w:type="fixed"/>
        <w:tblCellMar>
          <w:top w:w="15" w:type="dxa"/>
          <w:left w:w="15" w:type="dxa"/>
          <w:bottom w:w="15" w:type="dxa"/>
          <w:right w:w="15" w:type="dxa"/>
        </w:tblCellMar>
      </w:tblPr>
      <w:tblGrid>
        <w:gridCol w:w="671"/>
        <w:gridCol w:w="2023"/>
        <w:gridCol w:w="3928"/>
        <w:gridCol w:w="2464"/>
      </w:tblGrid>
      <w:tr>
        <w:tblPrEx>
          <w:tblCellMar>
            <w:top w:w="15" w:type="dxa"/>
            <w:left w:w="15" w:type="dxa"/>
            <w:bottom w:w="15" w:type="dxa"/>
            <w:right w:w="15" w:type="dxa"/>
          </w:tblCellMar>
        </w:tblPrEx>
        <w:trPr>
          <w:trHeight w:val="43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rPr>
            </w:pPr>
            <w:r>
              <w:rPr>
                <w:rFonts w:hint="eastAsia" w:ascii="宋体" w:hAnsi="宋体" w:cs="宋体"/>
                <w:color w:val="auto"/>
                <w:kern w:val="0"/>
              </w:rPr>
              <w:t>序号</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rPr>
            </w:pPr>
            <w:r>
              <w:rPr>
                <w:rFonts w:ascii="宋体" w:hAnsi="宋体" w:cs="宋体"/>
                <w:color w:val="auto"/>
                <w:kern w:val="0"/>
              </w:rPr>
              <w:t>所在区县</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rPr>
            </w:pPr>
            <w:r>
              <w:rPr>
                <w:rFonts w:ascii="宋体" w:hAnsi="宋体" w:cs="宋体"/>
                <w:color w:val="auto"/>
                <w:kern w:val="0"/>
              </w:rPr>
              <w:t>单位名称</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rPr>
            </w:pPr>
            <w:r>
              <w:rPr>
                <w:rFonts w:hint="eastAsia" w:ascii="宋体" w:hAnsi="宋体" w:cs="宋体"/>
                <w:color w:val="auto"/>
                <w:kern w:val="0"/>
              </w:rPr>
              <w:t>计划完成时间（年）</w:t>
            </w:r>
          </w:p>
        </w:tc>
      </w:tr>
      <w:tr>
        <w:tblPrEx>
          <w:tblCellMar>
            <w:top w:w="15" w:type="dxa"/>
            <w:left w:w="15" w:type="dxa"/>
            <w:bottom w:w="15" w:type="dxa"/>
            <w:right w:w="15" w:type="dxa"/>
          </w:tblCellMar>
        </w:tblPrEx>
        <w:trPr>
          <w:trHeight w:val="43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rPr>
            </w:pPr>
            <w:r>
              <w:rPr>
                <w:rFonts w:ascii="宋体" w:hAnsi="宋体" w:cs="宋体"/>
                <w:color w:val="auto"/>
                <w:kern w:val="0"/>
              </w:rPr>
              <w:t>1</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rPr>
            </w:pPr>
            <w:r>
              <w:rPr>
                <w:rFonts w:hint="eastAsia" w:ascii="宋体" w:hAnsi="宋体" w:cs="宋体"/>
                <w:color w:val="auto"/>
                <w:kern w:val="0"/>
              </w:rPr>
              <w:t>鸡东县</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rPr>
            </w:pPr>
            <w:r>
              <w:rPr>
                <w:rFonts w:hint="eastAsia" w:ascii="宋体" w:hAnsi="宋体" w:cs="宋体"/>
                <w:color w:val="auto"/>
                <w:kern w:val="0"/>
              </w:rPr>
              <w:t>黑龙江畅峰焦化有限公司</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lang w:eastAsia="zh-CN"/>
              </w:rPr>
            </w:pPr>
            <w:r>
              <w:rPr>
                <w:rFonts w:hint="eastAsia" w:ascii="宋体" w:hAnsi="宋体" w:cs="宋体"/>
                <w:color w:val="auto"/>
                <w:kern w:val="0"/>
              </w:rPr>
              <w:t>202</w:t>
            </w:r>
            <w:r>
              <w:rPr>
                <w:rFonts w:hint="eastAsia" w:ascii="宋体" w:hAnsi="宋体" w:cs="宋体"/>
                <w:color w:val="auto"/>
                <w:kern w:val="0"/>
                <w:lang w:val="en-US" w:eastAsia="zh-CN"/>
              </w:rPr>
              <w:t>5</w:t>
            </w:r>
          </w:p>
        </w:tc>
      </w:tr>
    </w:tbl>
    <w:p>
      <w:pPr>
        <w:pStyle w:val="10"/>
        <w:tabs>
          <w:tab w:val="right" w:leader="dot" w:pos="8296"/>
        </w:tabs>
        <w:ind w:left="0" w:leftChars="0" w:firstLine="640" w:firstLineChars="200"/>
        <w:jc w:val="left"/>
        <w:outlineLvl w:val="1"/>
        <w:rPr>
          <w:rFonts w:ascii="黑体" w:hAnsi="黑体" w:eastAsia="黑体" w:cs="黑体"/>
          <w:color w:val="auto"/>
          <w:sz w:val="32"/>
          <w:szCs w:val="32"/>
        </w:rPr>
      </w:pPr>
    </w:p>
    <w:p>
      <w:pPr>
        <w:pStyle w:val="10"/>
        <w:tabs>
          <w:tab w:val="right" w:leader="dot" w:pos="8296"/>
        </w:tabs>
        <w:spacing w:line="600" w:lineRule="exact"/>
        <w:ind w:left="0" w:leftChars="0" w:firstLine="0" w:firstLineChars="0"/>
        <w:jc w:val="left"/>
        <w:outlineLvl w:val="1"/>
        <w:rPr>
          <w:rFonts w:hint="eastAsia" w:ascii="方正公文小标宋" w:hAnsi="方正公文小标宋" w:eastAsia="方正公文小标宋" w:cs="方正公文小标宋"/>
          <w:b w:val="0"/>
          <w:bCs/>
          <w:snapToGrid/>
          <w:color w:val="auto"/>
          <w:kern w:val="2"/>
          <w:sz w:val="28"/>
          <w:szCs w:val="28"/>
          <w:lang w:val="en-US" w:eastAsia="zh-CN" w:bidi="ar-SA"/>
        </w:rPr>
      </w:pPr>
      <w:r>
        <w:rPr>
          <w:rFonts w:hint="default" w:ascii="方正公文小标宋" w:hAnsi="方正公文小标宋" w:eastAsia="方正公文小标宋" w:cs="方正公文小标宋"/>
          <w:b w:val="0"/>
          <w:bCs/>
          <w:snapToGrid/>
          <w:color w:val="auto"/>
          <w:kern w:val="2"/>
          <w:sz w:val="28"/>
          <w:szCs w:val="28"/>
          <w:lang w:eastAsia="zh-CN" w:bidi="ar-SA"/>
        </w:rPr>
        <w:t>表</w:t>
      </w:r>
      <w:r>
        <w:rPr>
          <w:rFonts w:hint="eastAsia" w:ascii="方正公文小标宋" w:hAnsi="方正公文小标宋" w:eastAsia="方正公文小标宋" w:cs="方正公文小标宋"/>
          <w:b w:val="0"/>
          <w:bCs/>
          <w:snapToGrid/>
          <w:color w:val="auto"/>
          <w:kern w:val="2"/>
          <w:sz w:val="28"/>
          <w:szCs w:val="28"/>
          <w:lang w:eastAsia="zh-CN" w:bidi="ar-SA"/>
        </w:rPr>
        <w:t>三</w:t>
      </w:r>
      <w:r>
        <w:rPr>
          <w:rFonts w:hint="default" w:ascii="方正公文小标宋" w:hAnsi="方正公文小标宋" w:eastAsia="方正公文小标宋" w:cs="方正公文小标宋"/>
          <w:b w:val="0"/>
          <w:bCs/>
          <w:snapToGrid/>
          <w:color w:val="auto"/>
          <w:kern w:val="2"/>
          <w:sz w:val="28"/>
          <w:szCs w:val="28"/>
          <w:lang w:eastAsia="zh-CN" w:bidi="ar-SA"/>
        </w:rPr>
        <w:t>：</w:t>
      </w:r>
      <w:r>
        <w:rPr>
          <w:rFonts w:hint="eastAsia" w:ascii="方正公文小标宋" w:hAnsi="方正公文小标宋" w:eastAsia="方正公文小标宋" w:cs="方正公文小标宋"/>
          <w:b w:val="0"/>
          <w:bCs/>
          <w:snapToGrid/>
          <w:color w:val="auto"/>
          <w:kern w:val="2"/>
          <w:sz w:val="28"/>
          <w:szCs w:val="28"/>
          <w:lang w:val="en-US" w:eastAsia="zh-CN" w:bidi="ar-SA"/>
        </w:rPr>
        <w:t>农村环境污染治理工程</w:t>
      </w:r>
      <w:bookmarkEnd w:id="30"/>
      <w:r>
        <w:rPr>
          <w:rFonts w:hint="eastAsia" w:ascii="方正公文小标宋" w:hAnsi="方正公文小标宋" w:eastAsia="方正公文小标宋" w:cs="方正公文小标宋"/>
          <w:b w:val="0"/>
          <w:bCs/>
          <w:snapToGrid/>
          <w:color w:val="auto"/>
          <w:kern w:val="2"/>
          <w:sz w:val="28"/>
          <w:szCs w:val="28"/>
          <w:lang w:val="en-US" w:eastAsia="zh-CN" w:bidi="ar-SA"/>
        </w:rPr>
        <w:t>计划表</w:t>
      </w:r>
    </w:p>
    <w:tbl>
      <w:tblPr>
        <w:tblStyle w:val="15"/>
        <w:tblW w:w="9087" w:type="dxa"/>
        <w:tblInd w:w="0" w:type="dxa"/>
        <w:tblLayout w:type="fixed"/>
        <w:tblCellMar>
          <w:top w:w="0" w:type="dxa"/>
          <w:left w:w="108" w:type="dxa"/>
          <w:bottom w:w="0" w:type="dxa"/>
          <w:right w:w="108" w:type="dxa"/>
        </w:tblCellMar>
      </w:tblPr>
      <w:tblGrid>
        <w:gridCol w:w="724"/>
        <w:gridCol w:w="1134"/>
        <w:gridCol w:w="4961"/>
        <w:gridCol w:w="2268"/>
      </w:tblGrid>
      <w:tr>
        <w:tblPrEx>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微软雅黑"/>
                <w:color w:val="auto"/>
              </w:rPr>
            </w:pPr>
            <w:bookmarkStart w:id="31" w:name="_Toc51315606"/>
            <w:r>
              <w:rPr>
                <w:rFonts w:hint="eastAsia" w:ascii="宋体" w:hAnsi="宋体" w:cs="微软雅黑"/>
                <w:color w:val="auto"/>
                <w:kern w:val="0"/>
              </w:rPr>
              <w:t>序号</w:t>
            </w:r>
          </w:p>
        </w:tc>
        <w:tc>
          <w:tcPr>
            <w:tcW w:w="1134"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微软雅黑"/>
                <w:color w:val="auto"/>
              </w:rPr>
            </w:pPr>
            <w:r>
              <w:rPr>
                <w:rFonts w:hint="eastAsia" w:ascii="宋体" w:hAnsi="宋体" w:cs="微软雅黑"/>
                <w:color w:val="auto"/>
                <w:kern w:val="0"/>
              </w:rPr>
              <w:t>单位/市县</w:t>
            </w:r>
          </w:p>
        </w:tc>
        <w:tc>
          <w:tcPr>
            <w:tcW w:w="4961"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微软雅黑"/>
                <w:color w:val="auto"/>
              </w:rPr>
            </w:pPr>
            <w:r>
              <w:rPr>
                <w:rFonts w:hint="eastAsia" w:ascii="宋体" w:hAnsi="宋体" w:cs="微软雅黑"/>
                <w:color w:val="auto"/>
                <w:kern w:val="0"/>
              </w:rPr>
              <w:t>项目名称</w:t>
            </w:r>
          </w:p>
        </w:tc>
        <w:tc>
          <w:tcPr>
            <w:tcW w:w="2268"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微软雅黑"/>
                <w:color w:val="auto"/>
              </w:rPr>
            </w:pPr>
            <w:r>
              <w:rPr>
                <w:rFonts w:hint="eastAsia" w:ascii="宋体" w:hAnsi="宋体" w:cs="宋体"/>
                <w:color w:val="auto"/>
                <w:kern w:val="0"/>
              </w:rPr>
              <w:t>计划完成时间（年）</w:t>
            </w:r>
          </w:p>
        </w:tc>
      </w:tr>
      <w:tr>
        <w:tblPrEx>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微软雅黑"/>
                <w:color w:val="auto"/>
              </w:rPr>
            </w:pPr>
            <w:r>
              <w:rPr>
                <w:rFonts w:hint="eastAsia" w:ascii="宋体" w:hAnsi="宋体" w:cs="微软雅黑"/>
                <w:color w:val="auto"/>
                <w:kern w:val="0"/>
              </w:rPr>
              <w:t>1</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微软雅黑"/>
                <w:color w:val="auto"/>
              </w:rPr>
            </w:pPr>
            <w:r>
              <w:rPr>
                <w:rFonts w:hint="eastAsia" w:ascii="宋体" w:hAnsi="宋体" w:cs="微软雅黑"/>
                <w:color w:val="auto"/>
                <w:kern w:val="0"/>
              </w:rPr>
              <w:t>鸡东县</w:t>
            </w: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微软雅黑"/>
                <w:color w:val="auto"/>
              </w:rPr>
            </w:pPr>
            <w:r>
              <w:rPr>
                <w:rFonts w:hint="eastAsia" w:ascii="宋体" w:hAnsi="宋体" w:cs="微软雅黑"/>
                <w:color w:val="auto"/>
              </w:rPr>
              <w:t>鸡东县永安镇永安村生活污水治理工程项目</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微软雅黑"/>
                <w:color w:val="auto"/>
              </w:rPr>
            </w:pPr>
            <w:r>
              <w:rPr>
                <w:rFonts w:hint="eastAsia" w:ascii="宋体" w:hAnsi="宋体" w:cs="宋体"/>
                <w:color w:val="auto"/>
                <w:kern w:val="0"/>
              </w:rPr>
              <w:t>202</w:t>
            </w:r>
            <w:r>
              <w:rPr>
                <w:rFonts w:hint="eastAsia" w:ascii="宋体" w:hAnsi="宋体" w:cs="宋体"/>
                <w:color w:val="auto"/>
                <w:kern w:val="0"/>
                <w:lang w:val="en-US" w:eastAsia="zh-CN"/>
              </w:rPr>
              <w:t>3</w:t>
            </w:r>
          </w:p>
        </w:tc>
      </w:tr>
      <w:bookmarkEnd w:id="31"/>
    </w:tbl>
    <w:p>
      <w:pPr>
        <w:pStyle w:val="4"/>
        <w:rPr>
          <w:color w:val="auto"/>
        </w:rPr>
      </w:pPr>
    </w:p>
    <w:sectPr>
      <w:footerReference r:id="rId5" w:type="first"/>
      <w:footerReference r:id="rId3" w:type="default"/>
      <w:footerReference r:id="rId4" w:type="even"/>
      <w:pgSz w:w="11906" w:h="16838"/>
      <w:pgMar w:top="1797" w:right="1440" w:bottom="1134"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MingLiU">
    <w:altName w:val="方正书宋_GBK"/>
    <w:panose1 w:val="02020509000000000000"/>
    <w:charset w:val="88"/>
    <w:family w:val="modern"/>
    <w:pitch w:val="default"/>
    <w:sig w:usb0="00000000" w:usb1="00000000" w:usb2="00000016" w:usb3="00000000" w:csb0="0010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MingLiU_HKSCS">
    <w:altName w:val="文泉驿微米黑"/>
    <w:panose1 w:val="02020500000000000000"/>
    <w:charset w:val="88"/>
    <w:family w:val="roman"/>
    <w:pitch w:val="default"/>
    <w:sig w:usb0="00000000" w:usb1="00000000" w:usb2="00000016" w:usb3="00000000" w:csb0="00100001" w:csb1="00000000"/>
  </w:font>
  <w:font w:name="CESI仿宋-GB2312">
    <w:panose1 w:val="02000500000000000000"/>
    <w:charset w:val="86"/>
    <w:family w:val="auto"/>
    <w:pitch w:val="default"/>
    <w:sig w:usb0="800002AF" w:usb1="084F6CF8" w:usb2="00000010" w:usb3="00000000" w:csb0="0004000F" w:csb1="00000000"/>
  </w:font>
  <w:font w:name="方正公文小标宋">
    <w:altName w:val="方正小标宋_GBK"/>
    <w:panose1 w:val="02000000000000000000"/>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7"/>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hideSpellingErrors/>
  <w:documentProtection w:enforcement="0"/>
  <w:defaultTabStop w:val="420"/>
  <w:doNotHyphenateCaps/>
  <w:evenAndOddHeaders w:val="true"/>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N2IxODQ3MjkwZWRhMDZiMmY0YjQyNzEzNWM1NTQifQ=="/>
  </w:docVars>
  <w:rsids>
    <w:rsidRoot w:val="00AD5E21"/>
    <w:rsid w:val="00004A55"/>
    <w:rsid w:val="0000655D"/>
    <w:rsid w:val="000147DB"/>
    <w:rsid w:val="00023E6C"/>
    <w:rsid w:val="00032E24"/>
    <w:rsid w:val="00041D87"/>
    <w:rsid w:val="00045E2F"/>
    <w:rsid w:val="00055A5D"/>
    <w:rsid w:val="00055E31"/>
    <w:rsid w:val="0006397C"/>
    <w:rsid w:val="00071300"/>
    <w:rsid w:val="000740E4"/>
    <w:rsid w:val="000759FB"/>
    <w:rsid w:val="00082DBF"/>
    <w:rsid w:val="00086800"/>
    <w:rsid w:val="0009089D"/>
    <w:rsid w:val="00093DFA"/>
    <w:rsid w:val="000A7E98"/>
    <w:rsid w:val="000B452D"/>
    <w:rsid w:val="000B4D53"/>
    <w:rsid w:val="000D130C"/>
    <w:rsid w:val="000D4A9C"/>
    <w:rsid w:val="000E1025"/>
    <w:rsid w:val="000E1C00"/>
    <w:rsid w:val="000E3904"/>
    <w:rsid w:val="000E6120"/>
    <w:rsid w:val="000F08DD"/>
    <w:rsid w:val="00102A16"/>
    <w:rsid w:val="00103B10"/>
    <w:rsid w:val="0010761C"/>
    <w:rsid w:val="00113DE9"/>
    <w:rsid w:val="00114241"/>
    <w:rsid w:val="00114611"/>
    <w:rsid w:val="00114F48"/>
    <w:rsid w:val="00114FCA"/>
    <w:rsid w:val="001216AB"/>
    <w:rsid w:val="00125182"/>
    <w:rsid w:val="00132804"/>
    <w:rsid w:val="00134DE7"/>
    <w:rsid w:val="00135B99"/>
    <w:rsid w:val="00135FCA"/>
    <w:rsid w:val="00140149"/>
    <w:rsid w:val="00150193"/>
    <w:rsid w:val="001542D2"/>
    <w:rsid w:val="001621D5"/>
    <w:rsid w:val="001635B7"/>
    <w:rsid w:val="00165974"/>
    <w:rsid w:val="001673A5"/>
    <w:rsid w:val="00171836"/>
    <w:rsid w:val="00174CB1"/>
    <w:rsid w:val="00183A28"/>
    <w:rsid w:val="00191A25"/>
    <w:rsid w:val="00193D5B"/>
    <w:rsid w:val="001A4C0C"/>
    <w:rsid w:val="001B6CC1"/>
    <w:rsid w:val="001C2050"/>
    <w:rsid w:val="001C2398"/>
    <w:rsid w:val="001C5509"/>
    <w:rsid w:val="001C5D42"/>
    <w:rsid w:val="001C5E8A"/>
    <w:rsid w:val="001C6CE0"/>
    <w:rsid w:val="001D54CA"/>
    <w:rsid w:val="001D5FDF"/>
    <w:rsid w:val="001E5F08"/>
    <w:rsid w:val="001E661D"/>
    <w:rsid w:val="001F0BFC"/>
    <w:rsid w:val="001F517A"/>
    <w:rsid w:val="001F7417"/>
    <w:rsid w:val="001F7762"/>
    <w:rsid w:val="00211C2D"/>
    <w:rsid w:val="00214AB7"/>
    <w:rsid w:val="00217ED8"/>
    <w:rsid w:val="00230296"/>
    <w:rsid w:val="00232C47"/>
    <w:rsid w:val="00240B89"/>
    <w:rsid w:val="00254A1E"/>
    <w:rsid w:val="00254CC2"/>
    <w:rsid w:val="00256208"/>
    <w:rsid w:val="002706CF"/>
    <w:rsid w:val="00271EC0"/>
    <w:rsid w:val="00285011"/>
    <w:rsid w:val="002867E0"/>
    <w:rsid w:val="002911AE"/>
    <w:rsid w:val="00293DD3"/>
    <w:rsid w:val="00296398"/>
    <w:rsid w:val="00296614"/>
    <w:rsid w:val="002A29C4"/>
    <w:rsid w:val="002A5F94"/>
    <w:rsid w:val="002B0702"/>
    <w:rsid w:val="002B2B2A"/>
    <w:rsid w:val="002B3E21"/>
    <w:rsid w:val="002B79DE"/>
    <w:rsid w:val="002C3AE3"/>
    <w:rsid w:val="002C4A91"/>
    <w:rsid w:val="002D049D"/>
    <w:rsid w:val="002D0C10"/>
    <w:rsid w:val="002F1AC7"/>
    <w:rsid w:val="002F5E8F"/>
    <w:rsid w:val="00302405"/>
    <w:rsid w:val="003025A7"/>
    <w:rsid w:val="00302699"/>
    <w:rsid w:val="00303CF7"/>
    <w:rsid w:val="00307E81"/>
    <w:rsid w:val="00315F5B"/>
    <w:rsid w:val="00316AA1"/>
    <w:rsid w:val="00317CF5"/>
    <w:rsid w:val="00320B05"/>
    <w:rsid w:val="00340EE2"/>
    <w:rsid w:val="00345A6B"/>
    <w:rsid w:val="00352D8E"/>
    <w:rsid w:val="0035796D"/>
    <w:rsid w:val="003652AD"/>
    <w:rsid w:val="003675D1"/>
    <w:rsid w:val="00371E08"/>
    <w:rsid w:val="003766D2"/>
    <w:rsid w:val="00386952"/>
    <w:rsid w:val="00397207"/>
    <w:rsid w:val="003A0500"/>
    <w:rsid w:val="003A07B5"/>
    <w:rsid w:val="003A14EB"/>
    <w:rsid w:val="003A33D9"/>
    <w:rsid w:val="003A4287"/>
    <w:rsid w:val="003A5851"/>
    <w:rsid w:val="003A599A"/>
    <w:rsid w:val="003B109F"/>
    <w:rsid w:val="003B1E54"/>
    <w:rsid w:val="003C1633"/>
    <w:rsid w:val="003C5875"/>
    <w:rsid w:val="003C6750"/>
    <w:rsid w:val="003C68B0"/>
    <w:rsid w:val="003D02CB"/>
    <w:rsid w:val="003D2CC5"/>
    <w:rsid w:val="003D7181"/>
    <w:rsid w:val="003E538A"/>
    <w:rsid w:val="003F1C01"/>
    <w:rsid w:val="00407025"/>
    <w:rsid w:val="004125DE"/>
    <w:rsid w:val="004156E6"/>
    <w:rsid w:val="00425E16"/>
    <w:rsid w:val="00437026"/>
    <w:rsid w:val="0043778C"/>
    <w:rsid w:val="0044455F"/>
    <w:rsid w:val="00450287"/>
    <w:rsid w:val="0046650E"/>
    <w:rsid w:val="00467330"/>
    <w:rsid w:val="00472293"/>
    <w:rsid w:val="00480289"/>
    <w:rsid w:val="00482B88"/>
    <w:rsid w:val="00484D49"/>
    <w:rsid w:val="00491744"/>
    <w:rsid w:val="00495EC4"/>
    <w:rsid w:val="004A079E"/>
    <w:rsid w:val="004A1293"/>
    <w:rsid w:val="004A3F9E"/>
    <w:rsid w:val="004A4F80"/>
    <w:rsid w:val="004A59D1"/>
    <w:rsid w:val="004B204C"/>
    <w:rsid w:val="004B604A"/>
    <w:rsid w:val="004C031A"/>
    <w:rsid w:val="004C209E"/>
    <w:rsid w:val="004D09B7"/>
    <w:rsid w:val="004D3273"/>
    <w:rsid w:val="004D372D"/>
    <w:rsid w:val="004E1446"/>
    <w:rsid w:val="004E61E1"/>
    <w:rsid w:val="004E7009"/>
    <w:rsid w:val="00502CD9"/>
    <w:rsid w:val="00504B0D"/>
    <w:rsid w:val="005137B0"/>
    <w:rsid w:val="0051705A"/>
    <w:rsid w:val="00523B5B"/>
    <w:rsid w:val="00525FCC"/>
    <w:rsid w:val="00540D29"/>
    <w:rsid w:val="00543381"/>
    <w:rsid w:val="00544F07"/>
    <w:rsid w:val="00545EFF"/>
    <w:rsid w:val="005629B5"/>
    <w:rsid w:val="0056425D"/>
    <w:rsid w:val="00580371"/>
    <w:rsid w:val="00580464"/>
    <w:rsid w:val="00582C5A"/>
    <w:rsid w:val="0059163F"/>
    <w:rsid w:val="00597171"/>
    <w:rsid w:val="005A2201"/>
    <w:rsid w:val="005A540F"/>
    <w:rsid w:val="005A5B07"/>
    <w:rsid w:val="005B2AD8"/>
    <w:rsid w:val="005B411D"/>
    <w:rsid w:val="005C616F"/>
    <w:rsid w:val="005D71F6"/>
    <w:rsid w:val="005E5C1A"/>
    <w:rsid w:val="005E5E50"/>
    <w:rsid w:val="005F46FC"/>
    <w:rsid w:val="00603DF6"/>
    <w:rsid w:val="00606299"/>
    <w:rsid w:val="0061006A"/>
    <w:rsid w:val="00616592"/>
    <w:rsid w:val="0062049C"/>
    <w:rsid w:val="006216D7"/>
    <w:rsid w:val="00622369"/>
    <w:rsid w:val="00622B23"/>
    <w:rsid w:val="00625C67"/>
    <w:rsid w:val="0062629F"/>
    <w:rsid w:val="006262B7"/>
    <w:rsid w:val="00632516"/>
    <w:rsid w:val="00633D2F"/>
    <w:rsid w:val="00635253"/>
    <w:rsid w:val="00644295"/>
    <w:rsid w:val="0064761C"/>
    <w:rsid w:val="00654A58"/>
    <w:rsid w:val="00654F2A"/>
    <w:rsid w:val="0065665D"/>
    <w:rsid w:val="00671938"/>
    <w:rsid w:val="00672980"/>
    <w:rsid w:val="00672E8C"/>
    <w:rsid w:val="006730B0"/>
    <w:rsid w:val="00674EBE"/>
    <w:rsid w:val="006779E1"/>
    <w:rsid w:val="00680DF1"/>
    <w:rsid w:val="00686166"/>
    <w:rsid w:val="006948C2"/>
    <w:rsid w:val="006A458B"/>
    <w:rsid w:val="006A5F39"/>
    <w:rsid w:val="006A661F"/>
    <w:rsid w:val="006B131C"/>
    <w:rsid w:val="006B4FB0"/>
    <w:rsid w:val="006C64FA"/>
    <w:rsid w:val="006D10A6"/>
    <w:rsid w:val="006E3DE1"/>
    <w:rsid w:val="006F7097"/>
    <w:rsid w:val="007057BC"/>
    <w:rsid w:val="00707645"/>
    <w:rsid w:val="00710231"/>
    <w:rsid w:val="00711A9E"/>
    <w:rsid w:val="00713816"/>
    <w:rsid w:val="00720928"/>
    <w:rsid w:val="0072194F"/>
    <w:rsid w:val="00723008"/>
    <w:rsid w:val="00732201"/>
    <w:rsid w:val="00733640"/>
    <w:rsid w:val="007445DB"/>
    <w:rsid w:val="00766E63"/>
    <w:rsid w:val="00770308"/>
    <w:rsid w:val="0078049D"/>
    <w:rsid w:val="00780C49"/>
    <w:rsid w:val="007840C0"/>
    <w:rsid w:val="00784912"/>
    <w:rsid w:val="007855A1"/>
    <w:rsid w:val="00786472"/>
    <w:rsid w:val="007905C2"/>
    <w:rsid w:val="00793AE8"/>
    <w:rsid w:val="00796E9F"/>
    <w:rsid w:val="007A1A9E"/>
    <w:rsid w:val="007A2437"/>
    <w:rsid w:val="007A2D2B"/>
    <w:rsid w:val="007A409F"/>
    <w:rsid w:val="007A6120"/>
    <w:rsid w:val="007B18C9"/>
    <w:rsid w:val="007C31F3"/>
    <w:rsid w:val="007C5280"/>
    <w:rsid w:val="007D1EA2"/>
    <w:rsid w:val="007D48DD"/>
    <w:rsid w:val="007E0DBC"/>
    <w:rsid w:val="007E17CE"/>
    <w:rsid w:val="007E63B4"/>
    <w:rsid w:val="007F083F"/>
    <w:rsid w:val="007F2AFF"/>
    <w:rsid w:val="007F359C"/>
    <w:rsid w:val="007F62ED"/>
    <w:rsid w:val="008020EE"/>
    <w:rsid w:val="0080641B"/>
    <w:rsid w:val="008071DE"/>
    <w:rsid w:val="00813F40"/>
    <w:rsid w:val="00814DA0"/>
    <w:rsid w:val="00820E54"/>
    <w:rsid w:val="008212A7"/>
    <w:rsid w:val="0082590B"/>
    <w:rsid w:val="0083473E"/>
    <w:rsid w:val="0083486E"/>
    <w:rsid w:val="00840B18"/>
    <w:rsid w:val="008469CD"/>
    <w:rsid w:val="008505CF"/>
    <w:rsid w:val="00850910"/>
    <w:rsid w:val="00855F33"/>
    <w:rsid w:val="008625D4"/>
    <w:rsid w:val="00862C75"/>
    <w:rsid w:val="00865064"/>
    <w:rsid w:val="00866590"/>
    <w:rsid w:val="00866C4B"/>
    <w:rsid w:val="0087472A"/>
    <w:rsid w:val="00885986"/>
    <w:rsid w:val="00886F42"/>
    <w:rsid w:val="00891D44"/>
    <w:rsid w:val="00892A7D"/>
    <w:rsid w:val="0089511A"/>
    <w:rsid w:val="0089571D"/>
    <w:rsid w:val="00897357"/>
    <w:rsid w:val="008A0FD0"/>
    <w:rsid w:val="008A14F5"/>
    <w:rsid w:val="008A1F01"/>
    <w:rsid w:val="008A72D5"/>
    <w:rsid w:val="008A7568"/>
    <w:rsid w:val="008B1674"/>
    <w:rsid w:val="008B49E8"/>
    <w:rsid w:val="008B56A4"/>
    <w:rsid w:val="008B7FD1"/>
    <w:rsid w:val="008D1862"/>
    <w:rsid w:val="008D1B61"/>
    <w:rsid w:val="008E7F63"/>
    <w:rsid w:val="008F2966"/>
    <w:rsid w:val="008F2A51"/>
    <w:rsid w:val="008F55C3"/>
    <w:rsid w:val="009022DD"/>
    <w:rsid w:val="009057AB"/>
    <w:rsid w:val="00907C08"/>
    <w:rsid w:val="009159DF"/>
    <w:rsid w:val="00924B8B"/>
    <w:rsid w:val="00940527"/>
    <w:rsid w:val="00947240"/>
    <w:rsid w:val="00953620"/>
    <w:rsid w:val="009556B6"/>
    <w:rsid w:val="0095723C"/>
    <w:rsid w:val="009600BD"/>
    <w:rsid w:val="009657AC"/>
    <w:rsid w:val="00966BA7"/>
    <w:rsid w:val="009748ED"/>
    <w:rsid w:val="009831DC"/>
    <w:rsid w:val="00985006"/>
    <w:rsid w:val="00985700"/>
    <w:rsid w:val="009871F0"/>
    <w:rsid w:val="00992E6D"/>
    <w:rsid w:val="00994F9E"/>
    <w:rsid w:val="00996873"/>
    <w:rsid w:val="009975C7"/>
    <w:rsid w:val="009A2FDC"/>
    <w:rsid w:val="009C0BBC"/>
    <w:rsid w:val="009C5F46"/>
    <w:rsid w:val="009E1F82"/>
    <w:rsid w:val="009E568E"/>
    <w:rsid w:val="009E58E1"/>
    <w:rsid w:val="009E6C34"/>
    <w:rsid w:val="009F5558"/>
    <w:rsid w:val="009F67E8"/>
    <w:rsid w:val="009F7540"/>
    <w:rsid w:val="00A1252B"/>
    <w:rsid w:val="00A222C4"/>
    <w:rsid w:val="00A24C83"/>
    <w:rsid w:val="00A27520"/>
    <w:rsid w:val="00A33169"/>
    <w:rsid w:val="00A4300D"/>
    <w:rsid w:val="00A4653D"/>
    <w:rsid w:val="00A529FE"/>
    <w:rsid w:val="00A76356"/>
    <w:rsid w:val="00A7715F"/>
    <w:rsid w:val="00A80CD2"/>
    <w:rsid w:val="00A82866"/>
    <w:rsid w:val="00A83727"/>
    <w:rsid w:val="00A86052"/>
    <w:rsid w:val="00A87578"/>
    <w:rsid w:val="00A92044"/>
    <w:rsid w:val="00A96A3E"/>
    <w:rsid w:val="00A97318"/>
    <w:rsid w:val="00AA5BAC"/>
    <w:rsid w:val="00AA6E8C"/>
    <w:rsid w:val="00AB6C05"/>
    <w:rsid w:val="00AB7EDD"/>
    <w:rsid w:val="00AC3AC8"/>
    <w:rsid w:val="00AC59BC"/>
    <w:rsid w:val="00AD1C0E"/>
    <w:rsid w:val="00AD4841"/>
    <w:rsid w:val="00AD5E21"/>
    <w:rsid w:val="00AD5FA4"/>
    <w:rsid w:val="00AD610B"/>
    <w:rsid w:val="00AE062A"/>
    <w:rsid w:val="00AE1CF2"/>
    <w:rsid w:val="00AE6DBE"/>
    <w:rsid w:val="00AF72F5"/>
    <w:rsid w:val="00B0610F"/>
    <w:rsid w:val="00B10F2A"/>
    <w:rsid w:val="00B14E4D"/>
    <w:rsid w:val="00B32EBF"/>
    <w:rsid w:val="00B35B5C"/>
    <w:rsid w:val="00B44293"/>
    <w:rsid w:val="00B46A1B"/>
    <w:rsid w:val="00B51522"/>
    <w:rsid w:val="00B533BE"/>
    <w:rsid w:val="00B74440"/>
    <w:rsid w:val="00B771A1"/>
    <w:rsid w:val="00B92F97"/>
    <w:rsid w:val="00B95C75"/>
    <w:rsid w:val="00BA1B90"/>
    <w:rsid w:val="00BA435D"/>
    <w:rsid w:val="00BA7CF5"/>
    <w:rsid w:val="00BB0B0B"/>
    <w:rsid w:val="00BB44AE"/>
    <w:rsid w:val="00BB4A93"/>
    <w:rsid w:val="00BC20F6"/>
    <w:rsid w:val="00BC2D9C"/>
    <w:rsid w:val="00BC3110"/>
    <w:rsid w:val="00BC4902"/>
    <w:rsid w:val="00BC71E1"/>
    <w:rsid w:val="00BD452C"/>
    <w:rsid w:val="00BD4718"/>
    <w:rsid w:val="00BE76E7"/>
    <w:rsid w:val="00BF53CB"/>
    <w:rsid w:val="00BF5A40"/>
    <w:rsid w:val="00C04827"/>
    <w:rsid w:val="00C131FD"/>
    <w:rsid w:val="00C137B8"/>
    <w:rsid w:val="00C150AE"/>
    <w:rsid w:val="00C20658"/>
    <w:rsid w:val="00C271A9"/>
    <w:rsid w:val="00C3379F"/>
    <w:rsid w:val="00C33F35"/>
    <w:rsid w:val="00C36DEB"/>
    <w:rsid w:val="00C37A86"/>
    <w:rsid w:val="00C47001"/>
    <w:rsid w:val="00C578F4"/>
    <w:rsid w:val="00C61200"/>
    <w:rsid w:val="00C62BEB"/>
    <w:rsid w:val="00C7049A"/>
    <w:rsid w:val="00C71948"/>
    <w:rsid w:val="00C83D68"/>
    <w:rsid w:val="00C84370"/>
    <w:rsid w:val="00CA0027"/>
    <w:rsid w:val="00CA7066"/>
    <w:rsid w:val="00CB0208"/>
    <w:rsid w:val="00CB0706"/>
    <w:rsid w:val="00CB4023"/>
    <w:rsid w:val="00CB50B3"/>
    <w:rsid w:val="00CC2FA0"/>
    <w:rsid w:val="00CC6988"/>
    <w:rsid w:val="00CC70BC"/>
    <w:rsid w:val="00CD0993"/>
    <w:rsid w:val="00CE0E92"/>
    <w:rsid w:val="00CF14D3"/>
    <w:rsid w:val="00CF3245"/>
    <w:rsid w:val="00D10B10"/>
    <w:rsid w:val="00D10F3A"/>
    <w:rsid w:val="00D14DC9"/>
    <w:rsid w:val="00D153A8"/>
    <w:rsid w:val="00D22C24"/>
    <w:rsid w:val="00D24183"/>
    <w:rsid w:val="00D257C6"/>
    <w:rsid w:val="00D263C4"/>
    <w:rsid w:val="00D31702"/>
    <w:rsid w:val="00D328AA"/>
    <w:rsid w:val="00D40CD5"/>
    <w:rsid w:val="00D439BA"/>
    <w:rsid w:val="00D479B0"/>
    <w:rsid w:val="00D5582C"/>
    <w:rsid w:val="00D60623"/>
    <w:rsid w:val="00D60A3C"/>
    <w:rsid w:val="00D6595E"/>
    <w:rsid w:val="00D65F85"/>
    <w:rsid w:val="00D70331"/>
    <w:rsid w:val="00D722A4"/>
    <w:rsid w:val="00D812CA"/>
    <w:rsid w:val="00D82451"/>
    <w:rsid w:val="00D83F46"/>
    <w:rsid w:val="00D87256"/>
    <w:rsid w:val="00D91177"/>
    <w:rsid w:val="00D921DE"/>
    <w:rsid w:val="00D9536F"/>
    <w:rsid w:val="00DA4E1F"/>
    <w:rsid w:val="00DA5938"/>
    <w:rsid w:val="00DB03F8"/>
    <w:rsid w:val="00DB2105"/>
    <w:rsid w:val="00DB2D75"/>
    <w:rsid w:val="00DB3C17"/>
    <w:rsid w:val="00DB45BA"/>
    <w:rsid w:val="00DB4B3B"/>
    <w:rsid w:val="00DB4B6A"/>
    <w:rsid w:val="00DD187D"/>
    <w:rsid w:val="00DD7F69"/>
    <w:rsid w:val="00DE10C0"/>
    <w:rsid w:val="00DE3C9F"/>
    <w:rsid w:val="00DE4D5C"/>
    <w:rsid w:val="00DE4E0B"/>
    <w:rsid w:val="00DF35A2"/>
    <w:rsid w:val="00DF468D"/>
    <w:rsid w:val="00DF6959"/>
    <w:rsid w:val="00E00B59"/>
    <w:rsid w:val="00E0599B"/>
    <w:rsid w:val="00E10D9E"/>
    <w:rsid w:val="00E11BD3"/>
    <w:rsid w:val="00E15B51"/>
    <w:rsid w:val="00E17319"/>
    <w:rsid w:val="00E2093F"/>
    <w:rsid w:val="00E20E77"/>
    <w:rsid w:val="00E36216"/>
    <w:rsid w:val="00E42DD5"/>
    <w:rsid w:val="00E609B0"/>
    <w:rsid w:val="00E7326A"/>
    <w:rsid w:val="00E80209"/>
    <w:rsid w:val="00E80DD5"/>
    <w:rsid w:val="00E91F63"/>
    <w:rsid w:val="00EA0EA8"/>
    <w:rsid w:val="00EA37B1"/>
    <w:rsid w:val="00EA44F0"/>
    <w:rsid w:val="00EB0183"/>
    <w:rsid w:val="00EB521B"/>
    <w:rsid w:val="00ED3A58"/>
    <w:rsid w:val="00EE14ED"/>
    <w:rsid w:val="00EE42BA"/>
    <w:rsid w:val="00EE52C8"/>
    <w:rsid w:val="00EE5E91"/>
    <w:rsid w:val="00F03466"/>
    <w:rsid w:val="00F03DD8"/>
    <w:rsid w:val="00F06960"/>
    <w:rsid w:val="00F168DA"/>
    <w:rsid w:val="00F16B4C"/>
    <w:rsid w:val="00F21A24"/>
    <w:rsid w:val="00F35848"/>
    <w:rsid w:val="00F41D35"/>
    <w:rsid w:val="00F45111"/>
    <w:rsid w:val="00F51052"/>
    <w:rsid w:val="00F5500D"/>
    <w:rsid w:val="00F566AD"/>
    <w:rsid w:val="00F578E4"/>
    <w:rsid w:val="00F6468F"/>
    <w:rsid w:val="00F70B77"/>
    <w:rsid w:val="00F805E8"/>
    <w:rsid w:val="00F8433F"/>
    <w:rsid w:val="00F943B3"/>
    <w:rsid w:val="00F94DA1"/>
    <w:rsid w:val="00F97E5E"/>
    <w:rsid w:val="00FC30FE"/>
    <w:rsid w:val="00FC7D9A"/>
    <w:rsid w:val="00FC7E23"/>
    <w:rsid w:val="00FE1367"/>
    <w:rsid w:val="00FE40E6"/>
    <w:rsid w:val="00FF070B"/>
    <w:rsid w:val="00FF49AB"/>
    <w:rsid w:val="00FF708F"/>
    <w:rsid w:val="028603C5"/>
    <w:rsid w:val="02915F41"/>
    <w:rsid w:val="029B317D"/>
    <w:rsid w:val="02DF34D3"/>
    <w:rsid w:val="03A53B02"/>
    <w:rsid w:val="04F91B0D"/>
    <w:rsid w:val="05424E4B"/>
    <w:rsid w:val="054C541E"/>
    <w:rsid w:val="068E1DFA"/>
    <w:rsid w:val="06E34B85"/>
    <w:rsid w:val="07271185"/>
    <w:rsid w:val="0991579E"/>
    <w:rsid w:val="09E615B5"/>
    <w:rsid w:val="09FF1338"/>
    <w:rsid w:val="0A0E1F3D"/>
    <w:rsid w:val="0AC57B8D"/>
    <w:rsid w:val="0AD41965"/>
    <w:rsid w:val="0B331923"/>
    <w:rsid w:val="0B884A2B"/>
    <w:rsid w:val="0C9E4095"/>
    <w:rsid w:val="0CD00AC0"/>
    <w:rsid w:val="0CE919F2"/>
    <w:rsid w:val="0CFD6CFF"/>
    <w:rsid w:val="0D5E5C9F"/>
    <w:rsid w:val="0E4E2472"/>
    <w:rsid w:val="0E5209EB"/>
    <w:rsid w:val="0EC63ABB"/>
    <w:rsid w:val="0F31493F"/>
    <w:rsid w:val="1076198F"/>
    <w:rsid w:val="10E43E8F"/>
    <w:rsid w:val="10FB0319"/>
    <w:rsid w:val="12802F1D"/>
    <w:rsid w:val="12F97939"/>
    <w:rsid w:val="13487231"/>
    <w:rsid w:val="138E124B"/>
    <w:rsid w:val="13CE2EB5"/>
    <w:rsid w:val="13D37F69"/>
    <w:rsid w:val="1428506D"/>
    <w:rsid w:val="146855C1"/>
    <w:rsid w:val="15E60DD6"/>
    <w:rsid w:val="15EB405D"/>
    <w:rsid w:val="1604123A"/>
    <w:rsid w:val="16CB7CD9"/>
    <w:rsid w:val="16FA8787"/>
    <w:rsid w:val="18163804"/>
    <w:rsid w:val="19BA0AC0"/>
    <w:rsid w:val="19FD3D5D"/>
    <w:rsid w:val="1A0B2239"/>
    <w:rsid w:val="1AA516C5"/>
    <w:rsid w:val="1B130773"/>
    <w:rsid w:val="1B1E4CBF"/>
    <w:rsid w:val="1B3F43E5"/>
    <w:rsid w:val="1B641A5D"/>
    <w:rsid w:val="1BA86C22"/>
    <w:rsid w:val="1CAA72F4"/>
    <w:rsid w:val="1CE87C7A"/>
    <w:rsid w:val="1D5F76FB"/>
    <w:rsid w:val="1D6C75C5"/>
    <w:rsid w:val="1DBBB77E"/>
    <w:rsid w:val="1DE32A2B"/>
    <w:rsid w:val="1DFBA313"/>
    <w:rsid w:val="1E7D0538"/>
    <w:rsid w:val="1EFFB237"/>
    <w:rsid w:val="209C2D84"/>
    <w:rsid w:val="209D1C3E"/>
    <w:rsid w:val="20C81021"/>
    <w:rsid w:val="20D44015"/>
    <w:rsid w:val="21D342C9"/>
    <w:rsid w:val="22147EA6"/>
    <w:rsid w:val="224A0EB6"/>
    <w:rsid w:val="22821F7B"/>
    <w:rsid w:val="24F8354E"/>
    <w:rsid w:val="25882A4C"/>
    <w:rsid w:val="25CA0E24"/>
    <w:rsid w:val="267F16E8"/>
    <w:rsid w:val="270E0B9F"/>
    <w:rsid w:val="271A5F90"/>
    <w:rsid w:val="273348B3"/>
    <w:rsid w:val="274D781F"/>
    <w:rsid w:val="27FE2CD8"/>
    <w:rsid w:val="288D79F0"/>
    <w:rsid w:val="28E00943"/>
    <w:rsid w:val="2A431F44"/>
    <w:rsid w:val="2ABA6A0A"/>
    <w:rsid w:val="2ABC1903"/>
    <w:rsid w:val="2B3E372E"/>
    <w:rsid w:val="2C0E71CD"/>
    <w:rsid w:val="2C154F49"/>
    <w:rsid w:val="2D9B79BD"/>
    <w:rsid w:val="2DCED6F4"/>
    <w:rsid w:val="2E2D249F"/>
    <w:rsid w:val="2E525FE5"/>
    <w:rsid w:val="2E942EF4"/>
    <w:rsid w:val="2E9F9A68"/>
    <w:rsid w:val="2EAB0B40"/>
    <w:rsid w:val="2EAD40A8"/>
    <w:rsid w:val="2FBE73BF"/>
    <w:rsid w:val="2FDB8181"/>
    <w:rsid w:val="30304791"/>
    <w:rsid w:val="31A4321F"/>
    <w:rsid w:val="32A30CC6"/>
    <w:rsid w:val="32D5E96C"/>
    <w:rsid w:val="331B3B30"/>
    <w:rsid w:val="3357C253"/>
    <w:rsid w:val="337D3B58"/>
    <w:rsid w:val="33F14E3F"/>
    <w:rsid w:val="358C3CCC"/>
    <w:rsid w:val="36B157CE"/>
    <w:rsid w:val="371D0DC8"/>
    <w:rsid w:val="3744736A"/>
    <w:rsid w:val="37A82ED7"/>
    <w:rsid w:val="37BDCBB7"/>
    <w:rsid w:val="37ED3AF6"/>
    <w:rsid w:val="385A3FD3"/>
    <w:rsid w:val="38FE1AA3"/>
    <w:rsid w:val="38FF7E02"/>
    <w:rsid w:val="39932C48"/>
    <w:rsid w:val="39E46A5E"/>
    <w:rsid w:val="3AB7276E"/>
    <w:rsid w:val="3B1F2605"/>
    <w:rsid w:val="3B5B503D"/>
    <w:rsid w:val="3B60526E"/>
    <w:rsid w:val="3C2716D9"/>
    <w:rsid w:val="3C5F2ED5"/>
    <w:rsid w:val="3CA012CC"/>
    <w:rsid w:val="3DE25BC8"/>
    <w:rsid w:val="3DFC6EAD"/>
    <w:rsid w:val="3E5EE5EF"/>
    <w:rsid w:val="3EAD642E"/>
    <w:rsid w:val="3EDE50EB"/>
    <w:rsid w:val="3EF64327"/>
    <w:rsid w:val="3EFEF95A"/>
    <w:rsid w:val="3F36B09E"/>
    <w:rsid w:val="3F7B4892"/>
    <w:rsid w:val="3F7B566A"/>
    <w:rsid w:val="3F9F150F"/>
    <w:rsid w:val="3FB7C421"/>
    <w:rsid w:val="3FCCD3E7"/>
    <w:rsid w:val="3FF7B4A6"/>
    <w:rsid w:val="3FFF76A5"/>
    <w:rsid w:val="411D4BF1"/>
    <w:rsid w:val="41A74794"/>
    <w:rsid w:val="42230B97"/>
    <w:rsid w:val="42B873DB"/>
    <w:rsid w:val="42D825F4"/>
    <w:rsid w:val="433C40F6"/>
    <w:rsid w:val="437C939E"/>
    <w:rsid w:val="43B132D4"/>
    <w:rsid w:val="44016694"/>
    <w:rsid w:val="4437B6C0"/>
    <w:rsid w:val="44AD3A94"/>
    <w:rsid w:val="4559358C"/>
    <w:rsid w:val="45A3567B"/>
    <w:rsid w:val="45A446AF"/>
    <w:rsid w:val="45A64538"/>
    <w:rsid w:val="45AD4E70"/>
    <w:rsid w:val="46877895"/>
    <w:rsid w:val="47F07668"/>
    <w:rsid w:val="48086251"/>
    <w:rsid w:val="48671147"/>
    <w:rsid w:val="489455DD"/>
    <w:rsid w:val="49417BEA"/>
    <w:rsid w:val="49864F95"/>
    <w:rsid w:val="4A2E057E"/>
    <w:rsid w:val="4A2F4094"/>
    <w:rsid w:val="4AF82B41"/>
    <w:rsid w:val="4B1D9330"/>
    <w:rsid w:val="4B3B20A0"/>
    <w:rsid w:val="4BD01810"/>
    <w:rsid w:val="4EE47823"/>
    <w:rsid w:val="4F6134D9"/>
    <w:rsid w:val="4F7F003A"/>
    <w:rsid w:val="4F7F38B7"/>
    <w:rsid w:val="50770768"/>
    <w:rsid w:val="52257948"/>
    <w:rsid w:val="533F376F"/>
    <w:rsid w:val="537B82F3"/>
    <w:rsid w:val="53C378F8"/>
    <w:rsid w:val="540D674C"/>
    <w:rsid w:val="54A64467"/>
    <w:rsid w:val="56783538"/>
    <w:rsid w:val="56941167"/>
    <w:rsid w:val="57947B68"/>
    <w:rsid w:val="579E00C5"/>
    <w:rsid w:val="57AB6171"/>
    <w:rsid w:val="57BB2954"/>
    <w:rsid w:val="57EB1B20"/>
    <w:rsid w:val="57FEA683"/>
    <w:rsid w:val="581771D9"/>
    <w:rsid w:val="58D46008"/>
    <w:rsid w:val="58FE2053"/>
    <w:rsid w:val="597B5603"/>
    <w:rsid w:val="59CA7DA5"/>
    <w:rsid w:val="59DEFF4C"/>
    <w:rsid w:val="59EF479B"/>
    <w:rsid w:val="5A7F749F"/>
    <w:rsid w:val="5AFF1B57"/>
    <w:rsid w:val="5AFF4667"/>
    <w:rsid w:val="5B2F1F99"/>
    <w:rsid w:val="5B39E3AB"/>
    <w:rsid w:val="5C6C46E4"/>
    <w:rsid w:val="5CFF7504"/>
    <w:rsid w:val="5DEF94B1"/>
    <w:rsid w:val="5DFCA265"/>
    <w:rsid w:val="5E524C74"/>
    <w:rsid w:val="5EDF9E83"/>
    <w:rsid w:val="5EFD6F91"/>
    <w:rsid w:val="5EFEB798"/>
    <w:rsid w:val="5F297E43"/>
    <w:rsid w:val="5F3CA4BC"/>
    <w:rsid w:val="5F3D1134"/>
    <w:rsid w:val="5F595B0C"/>
    <w:rsid w:val="5F7F4DF3"/>
    <w:rsid w:val="5F7FF377"/>
    <w:rsid w:val="5FB666B4"/>
    <w:rsid w:val="5FDF5D71"/>
    <w:rsid w:val="5FEF4B0C"/>
    <w:rsid w:val="5FFA0EBB"/>
    <w:rsid w:val="5FFF345D"/>
    <w:rsid w:val="5FFFB14C"/>
    <w:rsid w:val="601829D2"/>
    <w:rsid w:val="60D53927"/>
    <w:rsid w:val="614A6601"/>
    <w:rsid w:val="62D11BF0"/>
    <w:rsid w:val="64769599"/>
    <w:rsid w:val="64B1524F"/>
    <w:rsid w:val="657D1B74"/>
    <w:rsid w:val="66684180"/>
    <w:rsid w:val="66D61A0D"/>
    <w:rsid w:val="676AD483"/>
    <w:rsid w:val="67776D73"/>
    <w:rsid w:val="67F74FB5"/>
    <w:rsid w:val="68107F84"/>
    <w:rsid w:val="687A058F"/>
    <w:rsid w:val="687E6C47"/>
    <w:rsid w:val="688F1978"/>
    <w:rsid w:val="68F5EAB1"/>
    <w:rsid w:val="692D45AD"/>
    <w:rsid w:val="698924DB"/>
    <w:rsid w:val="6997638E"/>
    <w:rsid w:val="69CD1313"/>
    <w:rsid w:val="69DACF42"/>
    <w:rsid w:val="6A627569"/>
    <w:rsid w:val="6A7264BF"/>
    <w:rsid w:val="6B7E81BD"/>
    <w:rsid w:val="6B8B0708"/>
    <w:rsid w:val="6BDFE0D3"/>
    <w:rsid w:val="6BF16DF6"/>
    <w:rsid w:val="6BFE1B96"/>
    <w:rsid w:val="6C083A22"/>
    <w:rsid w:val="6C5FAD1C"/>
    <w:rsid w:val="6C7EA8BE"/>
    <w:rsid w:val="6CFE0946"/>
    <w:rsid w:val="6D77FC46"/>
    <w:rsid w:val="6D8A4B89"/>
    <w:rsid w:val="6DB4457F"/>
    <w:rsid w:val="6DFDD15D"/>
    <w:rsid w:val="6E3217BF"/>
    <w:rsid w:val="6E3F7222"/>
    <w:rsid w:val="6E53453B"/>
    <w:rsid w:val="6EDAE2CF"/>
    <w:rsid w:val="6EFE901C"/>
    <w:rsid w:val="6F357945"/>
    <w:rsid w:val="6F4F6307"/>
    <w:rsid w:val="6F7D68FA"/>
    <w:rsid w:val="6FBAD249"/>
    <w:rsid w:val="6FDD7284"/>
    <w:rsid w:val="6FFAF1F9"/>
    <w:rsid w:val="709E06F9"/>
    <w:rsid w:val="70D25448"/>
    <w:rsid w:val="71092E34"/>
    <w:rsid w:val="737B5CE5"/>
    <w:rsid w:val="73BFBB7C"/>
    <w:rsid w:val="73EF2125"/>
    <w:rsid w:val="73F5AADF"/>
    <w:rsid w:val="7477E176"/>
    <w:rsid w:val="74FFE54A"/>
    <w:rsid w:val="75C8711C"/>
    <w:rsid w:val="76A06BC5"/>
    <w:rsid w:val="76C68DE2"/>
    <w:rsid w:val="76F60775"/>
    <w:rsid w:val="772A39E2"/>
    <w:rsid w:val="77452A0F"/>
    <w:rsid w:val="779A1C24"/>
    <w:rsid w:val="77BFD5C2"/>
    <w:rsid w:val="77DFEA7F"/>
    <w:rsid w:val="77F5302B"/>
    <w:rsid w:val="77FB9367"/>
    <w:rsid w:val="785EE5B4"/>
    <w:rsid w:val="78773164"/>
    <w:rsid w:val="78DD5397"/>
    <w:rsid w:val="78EF7F5E"/>
    <w:rsid w:val="78FF4EF0"/>
    <w:rsid w:val="793FB76C"/>
    <w:rsid w:val="797A7C24"/>
    <w:rsid w:val="79DFDCFA"/>
    <w:rsid w:val="79E7BB50"/>
    <w:rsid w:val="79F69DD6"/>
    <w:rsid w:val="79FC2A00"/>
    <w:rsid w:val="7A036672"/>
    <w:rsid w:val="7A66676E"/>
    <w:rsid w:val="7A9B6911"/>
    <w:rsid w:val="7AAFD01C"/>
    <w:rsid w:val="7ACF9228"/>
    <w:rsid w:val="7AFF14FA"/>
    <w:rsid w:val="7B3EA53D"/>
    <w:rsid w:val="7B545404"/>
    <w:rsid w:val="7B6C2F92"/>
    <w:rsid w:val="7B93036C"/>
    <w:rsid w:val="7BAFAE07"/>
    <w:rsid w:val="7BEF739C"/>
    <w:rsid w:val="7BF63C65"/>
    <w:rsid w:val="7BFA6B69"/>
    <w:rsid w:val="7BFF89E4"/>
    <w:rsid w:val="7C1B7EEA"/>
    <w:rsid w:val="7CE70563"/>
    <w:rsid w:val="7CEDBD42"/>
    <w:rsid w:val="7CFE9157"/>
    <w:rsid w:val="7D7F8A6F"/>
    <w:rsid w:val="7D9BE8B9"/>
    <w:rsid w:val="7DAF058A"/>
    <w:rsid w:val="7DBBB54E"/>
    <w:rsid w:val="7DCE5179"/>
    <w:rsid w:val="7DD9B35B"/>
    <w:rsid w:val="7DD9D92F"/>
    <w:rsid w:val="7DFA9301"/>
    <w:rsid w:val="7DFE732E"/>
    <w:rsid w:val="7DFFEED1"/>
    <w:rsid w:val="7E2F667A"/>
    <w:rsid w:val="7EA93F7C"/>
    <w:rsid w:val="7EB1375A"/>
    <w:rsid w:val="7EB2C10A"/>
    <w:rsid w:val="7EC7A7F9"/>
    <w:rsid w:val="7EDD7E30"/>
    <w:rsid w:val="7EE8CCD7"/>
    <w:rsid w:val="7EF7A59C"/>
    <w:rsid w:val="7EFF0262"/>
    <w:rsid w:val="7EFF5206"/>
    <w:rsid w:val="7F604567"/>
    <w:rsid w:val="7F6EDD8D"/>
    <w:rsid w:val="7F6F7B6B"/>
    <w:rsid w:val="7F7F9926"/>
    <w:rsid w:val="7FB7CFA5"/>
    <w:rsid w:val="7FB80376"/>
    <w:rsid w:val="7FBFBAE5"/>
    <w:rsid w:val="7FCB51B4"/>
    <w:rsid w:val="7FCF2705"/>
    <w:rsid w:val="7FD94787"/>
    <w:rsid w:val="7FDA77A7"/>
    <w:rsid w:val="7FDB63F0"/>
    <w:rsid w:val="7FF552D1"/>
    <w:rsid w:val="7FF562C3"/>
    <w:rsid w:val="7FF6FBB9"/>
    <w:rsid w:val="7FFCFD5C"/>
    <w:rsid w:val="7FFDA229"/>
    <w:rsid w:val="7FFE17CB"/>
    <w:rsid w:val="7FFECAD3"/>
    <w:rsid w:val="7FFF65B5"/>
    <w:rsid w:val="7FFFB790"/>
    <w:rsid w:val="8EFB41A9"/>
    <w:rsid w:val="8FF73C9F"/>
    <w:rsid w:val="95D7FB24"/>
    <w:rsid w:val="97F84A67"/>
    <w:rsid w:val="9DE5CBEC"/>
    <w:rsid w:val="9F3A0187"/>
    <w:rsid w:val="A3BFFE91"/>
    <w:rsid w:val="A76360CC"/>
    <w:rsid w:val="A9F619AF"/>
    <w:rsid w:val="AB7F69C3"/>
    <w:rsid w:val="AF7E5210"/>
    <w:rsid w:val="AF7EB56D"/>
    <w:rsid w:val="AF9FE46E"/>
    <w:rsid w:val="AFFB5F51"/>
    <w:rsid w:val="AFFF0891"/>
    <w:rsid w:val="AFFF2FE1"/>
    <w:rsid w:val="AFFF7AD5"/>
    <w:rsid w:val="B26EC9B2"/>
    <w:rsid w:val="B5FF28B0"/>
    <w:rsid w:val="B6BAC0B0"/>
    <w:rsid w:val="B6EA77B7"/>
    <w:rsid w:val="B76E0054"/>
    <w:rsid w:val="B77F23CC"/>
    <w:rsid w:val="B7F1843E"/>
    <w:rsid w:val="B8D20043"/>
    <w:rsid w:val="B99B49EF"/>
    <w:rsid w:val="B9B14579"/>
    <w:rsid w:val="BAEF35C3"/>
    <w:rsid w:val="BBAF5875"/>
    <w:rsid w:val="BBBF093B"/>
    <w:rsid w:val="BBD808C9"/>
    <w:rsid w:val="BBF398B3"/>
    <w:rsid w:val="BD0B1541"/>
    <w:rsid w:val="BD36FD3F"/>
    <w:rsid w:val="BD4F99F6"/>
    <w:rsid w:val="BD972DE4"/>
    <w:rsid w:val="BDBF1C68"/>
    <w:rsid w:val="BDEF5FB4"/>
    <w:rsid w:val="BEB3C670"/>
    <w:rsid w:val="BF77E0FF"/>
    <w:rsid w:val="BF9DEAEC"/>
    <w:rsid w:val="BFAD2379"/>
    <w:rsid w:val="BFBB9261"/>
    <w:rsid w:val="BFDFE205"/>
    <w:rsid w:val="BFEFE98D"/>
    <w:rsid w:val="BFF18D3E"/>
    <w:rsid w:val="BFFBE5C1"/>
    <w:rsid w:val="BFFE00A5"/>
    <w:rsid w:val="BFFEEB16"/>
    <w:rsid w:val="C36B26DC"/>
    <w:rsid w:val="C5F5985C"/>
    <w:rsid w:val="CFB767A0"/>
    <w:rsid w:val="D01699F0"/>
    <w:rsid w:val="D2EBFFC5"/>
    <w:rsid w:val="D5D9FFE9"/>
    <w:rsid w:val="DAFFD9EF"/>
    <w:rsid w:val="DBC5888C"/>
    <w:rsid w:val="DBFFEC57"/>
    <w:rsid w:val="DC7F4E19"/>
    <w:rsid w:val="DD67EBAC"/>
    <w:rsid w:val="DDDEF908"/>
    <w:rsid w:val="DDFE0D68"/>
    <w:rsid w:val="DF7F7126"/>
    <w:rsid w:val="DFB6F495"/>
    <w:rsid w:val="DFB7514F"/>
    <w:rsid w:val="DFB7B1BF"/>
    <w:rsid w:val="DFED235A"/>
    <w:rsid w:val="E13F044F"/>
    <w:rsid w:val="E367A06B"/>
    <w:rsid w:val="E5B662E1"/>
    <w:rsid w:val="E5F3A65F"/>
    <w:rsid w:val="E5F72254"/>
    <w:rsid w:val="E73F1390"/>
    <w:rsid w:val="E7BCB688"/>
    <w:rsid w:val="E7EF0440"/>
    <w:rsid w:val="E7FF2A4F"/>
    <w:rsid w:val="EBEECA8F"/>
    <w:rsid w:val="EBF7E2E4"/>
    <w:rsid w:val="ECFBB86B"/>
    <w:rsid w:val="EDBEDEAE"/>
    <w:rsid w:val="EDE2C777"/>
    <w:rsid w:val="EF6E5C67"/>
    <w:rsid w:val="EF7FBA20"/>
    <w:rsid w:val="EFBF39F7"/>
    <w:rsid w:val="EFDF1B1D"/>
    <w:rsid w:val="EFF238A4"/>
    <w:rsid w:val="F1FE608E"/>
    <w:rsid w:val="F2F726DB"/>
    <w:rsid w:val="F3FF9BD0"/>
    <w:rsid w:val="F3FFA7C5"/>
    <w:rsid w:val="F5E71053"/>
    <w:rsid w:val="F6DE7740"/>
    <w:rsid w:val="F6F90C2E"/>
    <w:rsid w:val="F73DBF73"/>
    <w:rsid w:val="F73DCE75"/>
    <w:rsid w:val="F77E3120"/>
    <w:rsid w:val="F7BE6DFD"/>
    <w:rsid w:val="F7DFA6D5"/>
    <w:rsid w:val="F7FC017F"/>
    <w:rsid w:val="F7FD4A21"/>
    <w:rsid w:val="F8FC8705"/>
    <w:rsid w:val="F9173919"/>
    <w:rsid w:val="F9AAAF67"/>
    <w:rsid w:val="F9F64EEC"/>
    <w:rsid w:val="FABE92E2"/>
    <w:rsid w:val="FAD706AB"/>
    <w:rsid w:val="FB2B6998"/>
    <w:rsid w:val="FB4BF91E"/>
    <w:rsid w:val="FBBBE733"/>
    <w:rsid w:val="FBBD7EDF"/>
    <w:rsid w:val="FBE3E5FF"/>
    <w:rsid w:val="FBF3F2FD"/>
    <w:rsid w:val="FBFDD45F"/>
    <w:rsid w:val="FBFF9A81"/>
    <w:rsid w:val="FCF5C711"/>
    <w:rsid w:val="FD4F0227"/>
    <w:rsid w:val="FDBB6D62"/>
    <w:rsid w:val="FDDFA56A"/>
    <w:rsid w:val="FDFB3DE3"/>
    <w:rsid w:val="FE3ED6D3"/>
    <w:rsid w:val="FE776BCB"/>
    <w:rsid w:val="FE7D2C1A"/>
    <w:rsid w:val="FE7FBD6F"/>
    <w:rsid w:val="FEBE0C3D"/>
    <w:rsid w:val="FECFFE04"/>
    <w:rsid w:val="FEF7DDA3"/>
    <w:rsid w:val="FEFF9757"/>
    <w:rsid w:val="FEFFF43B"/>
    <w:rsid w:val="FF171A5E"/>
    <w:rsid w:val="FF3F7F9D"/>
    <w:rsid w:val="FF6EA6E2"/>
    <w:rsid w:val="FF97585A"/>
    <w:rsid w:val="FFAB12CA"/>
    <w:rsid w:val="FFB7E524"/>
    <w:rsid w:val="FFBF188C"/>
    <w:rsid w:val="FFCFE737"/>
    <w:rsid w:val="FFD32786"/>
    <w:rsid w:val="FFDF1EE4"/>
    <w:rsid w:val="FFDFCF32"/>
    <w:rsid w:val="FFE68CC3"/>
    <w:rsid w:val="FFEF676F"/>
    <w:rsid w:val="FFEFC213"/>
    <w:rsid w:val="FFEFF5E6"/>
    <w:rsid w:val="FFF5D83E"/>
    <w:rsid w:val="FFF6290D"/>
    <w:rsid w:val="FFF69FB6"/>
    <w:rsid w:val="FFF7DFED"/>
    <w:rsid w:val="FFF7E916"/>
    <w:rsid w:val="FFF9356A"/>
    <w:rsid w:val="FFFD3097"/>
    <w:rsid w:val="FFFDA92B"/>
    <w:rsid w:val="FFFE7D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annotation text"/>
    <w:basedOn w:val="1"/>
    <w:link w:val="29"/>
    <w:unhideWhenUsed/>
    <w:qFormat/>
    <w:uiPriority w:val="0"/>
    <w:pPr>
      <w:jc w:val="left"/>
    </w:pPr>
    <w:rPr>
      <w:rFonts w:asciiTheme="minorHAnsi" w:hAnsiTheme="minorHAnsi" w:eastAsiaTheme="minorEastAsia" w:cstheme="minorBidi"/>
      <w:szCs w:val="24"/>
    </w:rPr>
  </w:style>
  <w:style w:type="paragraph" w:styleId="4">
    <w:name w:val="Body Text"/>
    <w:basedOn w:val="1"/>
    <w:link w:val="25"/>
    <w:qFormat/>
    <w:uiPriority w:val="99"/>
    <w:pPr>
      <w:spacing w:after="120"/>
    </w:pPr>
    <w:rPr>
      <w:rFonts w:cs="Arial"/>
      <w:szCs w:val="22"/>
    </w:rPr>
  </w:style>
  <w:style w:type="paragraph" w:styleId="5">
    <w:name w:val="Date"/>
    <w:basedOn w:val="1"/>
    <w:next w:val="1"/>
    <w:link w:val="24"/>
    <w:semiHidden/>
    <w:unhideWhenUsed/>
    <w:qFormat/>
    <w:uiPriority w:val="99"/>
    <w:pPr>
      <w:ind w:left="100" w:leftChars="2500"/>
    </w:pPr>
  </w:style>
  <w:style w:type="paragraph" w:styleId="6">
    <w:name w:val="Balloon Text"/>
    <w:basedOn w:val="1"/>
    <w:link w:val="30"/>
    <w:qFormat/>
    <w:uiPriority w:val="0"/>
    <w:rPr>
      <w:rFonts w:ascii="宋体" w:eastAsia="仿宋_GB2312" w:cs="方正大标宋简体" w:hAnsiTheme="minorHAnsi"/>
      <w:snapToGrid w:val="0"/>
      <w:sz w:val="18"/>
      <w:szCs w:val="18"/>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locked/>
    <w:uiPriority w:val="39"/>
    <w:rPr>
      <w:rFonts w:ascii="宋体" w:eastAsia="仿宋_GB2312" w:cs="方正大标宋简体" w:hAnsiTheme="minorHAnsi"/>
      <w:snapToGrid w:val="0"/>
      <w:sz w:val="18"/>
      <w:szCs w:val="150"/>
    </w:rPr>
  </w:style>
  <w:style w:type="paragraph" w:styleId="10">
    <w:name w:val="toc 2"/>
    <w:basedOn w:val="1"/>
    <w:next w:val="1"/>
    <w:qFormat/>
    <w:locked/>
    <w:uiPriority w:val="39"/>
    <w:pPr>
      <w:ind w:left="420" w:leftChars="200"/>
    </w:pPr>
    <w:rPr>
      <w:rFonts w:ascii="宋体" w:eastAsia="仿宋_GB2312" w:cs="方正大标宋简体" w:hAnsiTheme="minorHAnsi"/>
      <w:snapToGrid w:val="0"/>
      <w:sz w:val="18"/>
      <w:szCs w:val="150"/>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12">
    <w:name w:val="Normal (Web)"/>
    <w:basedOn w:val="1"/>
    <w:qFormat/>
    <w:uiPriority w:val="99"/>
    <w:pPr>
      <w:spacing w:before="100" w:beforeAutospacing="1" w:after="100" w:afterAutospacing="1"/>
      <w:jc w:val="left"/>
    </w:pPr>
    <w:rPr>
      <w:rFonts w:ascii="宋体" w:eastAsia="仿宋_GB2312" w:cs="Times New Roman" w:hAnsiTheme="minorHAnsi"/>
      <w:snapToGrid w:val="0"/>
      <w:kern w:val="0"/>
      <w:sz w:val="24"/>
      <w:szCs w:val="150"/>
    </w:rPr>
  </w:style>
  <w:style w:type="paragraph" w:styleId="13">
    <w:name w:val="Title"/>
    <w:basedOn w:val="1"/>
    <w:next w:val="1"/>
    <w:link w:val="31"/>
    <w:qFormat/>
    <w:locked/>
    <w:uiPriority w:val="99"/>
    <w:pPr>
      <w:jc w:val="center"/>
      <w:outlineLvl w:val="0"/>
    </w:pPr>
    <w:rPr>
      <w:rFonts w:ascii="Arial" w:hAnsi="Arial" w:eastAsia="仿宋_GB2312" w:cs="方正大标宋简体"/>
      <w:b/>
      <w:bCs/>
      <w:snapToGrid w:val="0"/>
      <w:sz w:val="32"/>
      <w:szCs w:val="32"/>
    </w:rPr>
  </w:style>
  <w:style w:type="paragraph" w:styleId="14">
    <w:name w:val="Body Text First Indent"/>
    <w:basedOn w:val="4"/>
    <w:link w:val="26"/>
    <w:unhideWhenUsed/>
    <w:qFormat/>
    <w:uiPriority w:val="0"/>
    <w:pPr>
      <w:ind w:firstLine="420" w:firstLineChars="100"/>
    </w:pPr>
    <w:rPr>
      <w:rFonts w:cs="Calibri"/>
      <w:szCs w:val="21"/>
    </w:rPr>
  </w:style>
  <w:style w:type="table" w:styleId="16">
    <w:name w:val="Table Grid"/>
    <w:basedOn w:val="15"/>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99"/>
    <w:rPr>
      <w:rFonts w:ascii="Times New Roman" w:hAnsi="Times New Roman"/>
      <w:color w:val="0000FF"/>
      <w:kern w:val="2"/>
      <w:sz w:val="24"/>
      <w:szCs w:val="24"/>
      <w:u w:val="single"/>
    </w:rPr>
  </w:style>
  <w:style w:type="character" w:styleId="20">
    <w:name w:val="annotation reference"/>
    <w:basedOn w:val="17"/>
    <w:unhideWhenUsed/>
    <w:qFormat/>
    <w:uiPriority w:val="0"/>
    <w:rPr>
      <w:sz w:val="21"/>
      <w:szCs w:val="21"/>
    </w:rPr>
  </w:style>
  <w:style w:type="paragraph" w:customStyle="1" w:styleId="21">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2">
    <w:name w:val="页眉 Char"/>
    <w:basedOn w:val="17"/>
    <w:link w:val="8"/>
    <w:semiHidden/>
    <w:qFormat/>
    <w:locked/>
    <w:uiPriority w:val="99"/>
    <w:rPr>
      <w:sz w:val="18"/>
      <w:szCs w:val="18"/>
    </w:rPr>
  </w:style>
  <w:style w:type="character" w:customStyle="1" w:styleId="23">
    <w:name w:val="页脚 Char"/>
    <w:basedOn w:val="17"/>
    <w:link w:val="7"/>
    <w:qFormat/>
    <w:locked/>
    <w:uiPriority w:val="99"/>
    <w:rPr>
      <w:sz w:val="18"/>
      <w:szCs w:val="18"/>
    </w:rPr>
  </w:style>
  <w:style w:type="character" w:customStyle="1" w:styleId="24">
    <w:name w:val="日期 Char"/>
    <w:basedOn w:val="17"/>
    <w:link w:val="5"/>
    <w:semiHidden/>
    <w:qFormat/>
    <w:uiPriority w:val="99"/>
    <w:rPr>
      <w:rFonts w:cs="Calibri"/>
      <w:kern w:val="2"/>
      <w:sz w:val="21"/>
      <w:szCs w:val="21"/>
    </w:rPr>
  </w:style>
  <w:style w:type="character" w:customStyle="1" w:styleId="25">
    <w:name w:val="正文文本 Char"/>
    <w:basedOn w:val="17"/>
    <w:link w:val="4"/>
    <w:qFormat/>
    <w:uiPriority w:val="99"/>
    <w:rPr>
      <w:rFonts w:cs="Arial"/>
      <w:kern w:val="2"/>
      <w:sz w:val="21"/>
      <w:szCs w:val="22"/>
    </w:rPr>
  </w:style>
  <w:style w:type="character" w:customStyle="1" w:styleId="26">
    <w:name w:val="正文首行缩进 Char"/>
    <w:basedOn w:val="25"/>
    <w:link w:val="14"/>
    <w:semiHidden/>
    <w:qFormat/>
    <w:uiPriority w:val="99"/>
    <w:rPr>
      <w:rFonts w:cs="Calibri"/>
      <w:szCs w:val="21"/>
    </w:rPr>
  </w:style>
  <w:style w:type="character" w:customStyle="1" w:styleId="27">
    <w:name w:val="s1"/>
    <w:qFormat/>
    <w:uiPriority w:val="0"/>
    <w:rPr>
      <w:rFonts w:ascii="Calibri" w:hAnsi="Calibri" w:eastAsia="宋体" w:cs="Calibri"/>
    </w:rPr>
  </w:style>
  <w:style w:type="paragraph" w:customStyle="1" w:styleId="28">
    <w:name w:val="标准文字"/>
    <w:basedOn w:val="1"/>
    <w:qFormat/>
    <w:uiPriority w:val="0"/>
    <w:pPr>
      <w:spacing w:line="360" w:lineRule="auto"/>
      <w:ind w:firstLine="560" w:firstLineChars="200"/>
    </w:pPr>
    <w:rPr>
      <w:rFonts w:ascii="宋体" w:eastAsia="仿宋_GB2312" w:cs="方正大标宋简体" w:hAnsiTheme="minorHAnsi"/>
      <w:snapToGrid w:val="0"/>
      <w:sz w:val="28"/>
      <w:szCs w:val="150"/>
    </w:rPr>
  </w:style>
  <w:style w:type="character" w:customStyle="1" w:styleId="29">
    <w:name w:val="批注文字 Char"/>
    <w:basedOn w:val="17"/>
    <w:link w:val="3"/>
    <w:qFormat/>
    <w:uiPriority w:val="0"/>
    <w:rPr>
      <w:rFonts w:asciiTheme="minorHAnsi" w:hAnsiTheme="minorHAnsi" w:eastAsiaTheme="minorEastAsia" w:cstheme="minorBidi"/>
      <w:kern w:val="2"/>
      <w:sz w:val="21"/>
      <w:szCs w:val="24"/>
    </w:rPr>
  </w:style>
  <w:style w:type="character" w:customStyle="1" w:styleId="30">
    <w:name w:val="批注框文本 Char"/>
    <w:basedOn w:val="17"/>
    <w:link w:val="6"/>
    <w:qFormat/>
    <w:uiPriority w:val="0"/>
    <w:rPr>
      <w:rFonts w:ascii="宋体" w:eastAsia="仿宋_GB2312" w:cs="方正大标宋简体" w:hAnsiTheme="minorHAnsi"/>
      <w:snapToGrid w:val="0"/>
      <w:kern w:val="2"/>
      <w:sz w:val="18"/>
      <w:szCs w:val="18"/>
    </w:rPr>
  </w:style>
  <w:style w:type="character" w:customStyle="1" w:styleId="31">
    <w:name w:val="标题 Char"/>
    <w:basedOn w:val="17"/>
    <w:link w:val="13"/>
    <w:qFormat/>
    <w:uiPriority w:val="99"/>
    <w:rPr>
      <w:rFonts w:ascii="Arial" w:hAnsi="Arial" w:eastAsia="仿宋_GB2312" w:cs="方正大标宋简体"/>
      <w:b/>
      <w:bCs/>
      <w:snapToGrid w:val="0"/>
      <w:kern w:val="2"/>
      <w:sz w:val="32"/>
      <w:szCs w:val="32"/>
    </w:rPr>
  </w:style>
  <w:style w:type="character" w:customStyle="1" w:styleId="32">
    <w:name w:val="正文文本 字符"/>
    <w:qFormat/>
    <w:uiPriority w:val="0"/>
    <w:rPr>
      <w:rFonts w:hint="eastAsia" w:ascii="MingLiU" w:hAnsi="MingLiU" w:eastAsia="MingLiU"/>
      <w:spacing w:val="10"/>
      <w:kern w:val="0"/>
      <w:sz w:val="28"/>
      <w:szCs w:val="28"/>
    </w:rPr>
  </w:style>
  <w:style w:type="character" w:customStyle="1" w:styleId="33">
    <w:name w:val="font61"/>
    <w:basedOn w:val="17"/>
    <w:qFormat/>
    <w:uiPriority w:val="0"/>
    <w:rPr>
      <w:rFonts w:hint="eastAsia" w:ascii="宋体" w:hAnsi="宋体" w:eastAsia="宋体" w:cs="宋体"/>
      <w:color w:val="000000"/>
      <w:sz w:val="21"/>
      <w:szCs w:val="21"/>
      <w:u w:val="none"/>
    </w:rPr>
  </w:style>
  <w:style w:type="character" w:customStyle="1" w:styleId="34">
    <w:name w:val="font01"/>
    <w:basedOn w:val="17"/>
    <w:qFormat/>
    <w:uiPriority w:val="0"/>
    <w:rPr>
      <w:rFonts w:hint="eastAsia" w:ascii="宋体" w:hAnsi="宋体" w:eastAsia="宋体" w:cs="宋体"/>
      <w:color w:val="000000"/>
      <w:sz w:val="22"/>
      <w:szCs w:val="22"/>
      <w:u w:val="none"/>
    </w:rPr>
  </w:style>
  <w:style w:type="character" w:customStyle="1" w:styleId="35">
    <w:name w:val="font11"/>
    <w:basedOn w:val="17"/>
    <w:qFormat/>
    <w:uiPriority w:val="0"/>
    <w:rPr>
      <w:rFonts w:hint="default" w:ascii="Times New Roman" w:hAnsi="Times New Roman" w:cs="Times New Roman"/>
      <w:color w:val="000000"/>
      <w:sz w:val="22"/>
      <w:szCs w:val="22"/>
      <w:u w:val="none"/>
    </w:rPr>
  </w:style>
  <w:style w:type="paragraph" w:customStyle="1" w:styleId="36">
    <w:name w:val="Other|1"/>
    <w:qFormat/>
    <w:uiPriority w:val="0"/>
    <w:pPr>
      <w:widowControl w:val="0"/>
      <w:spacing w:line="480" w:lineRule="auto"/>
      <w:ind w:firstLine="400"/>
    </w:pPr>
    <w:rPr>
      <w:rFonts w:ascii="宋体" w:hAnsi="宋体" w:eastAsia="宋体" w:cs="宋体"/>
      <w:color w:val="000000"/>
      <w:sz w:val="26"/>
      <w:szCs w:val="26"/>
      <w:lang w:val="zh-TW" w:eastAsia="zh-TW" w:bidi="zh-TW"/>
    </w:rPr>
  </w:style>
  <w:style w:type="paragraph" w:styleId="37">
    <w:name w:val="List Paragraph"/>
    <w:basedOn w:val="1"/>
    <w:unhideWhenUsed/>
    <w:qFormat/>
    <w:uiPriority w:val="99"/>
    <w:pPr>
      <w:ind w:firstLine="420" w:firstLineChars="200"/>
    </w:pPr>
    <w:rPr>
      <w:rFonts w:ascii="宋体" w:eastAsia="仿宋_GB2312" w:cs="方正大标宋简体" w:hAnsiTheme="minorHAnsi"/>
      <w:snapToGrid w:val="0"/>
      <w:sz w:val="18"/>
      <w:szCs w:val="150"/>
    </w:rPr>
  </w:style>
  <w:style w:type="paragraph" w:customStyle="1" w:styleId="38">
    <w:name w:val="正文00"/>
    <w:basedOn w:val="1"/>
    <w:qFormat/>
    <w:uiPriority w:val="0"/>
    <w:pPr>
      <w:spacing w:line="360" w:lineRule="auto"/>
      <w:ind w:firstLine="480" w:firstLineChars="200"/>
      <w:jc w:val="left"/>
    </w:pPr>
    <w:rPr>
      <w:rFonts w:ascii="宋体" w:eastAsia="仿宋_GB2312" w:cs="宋体" w:hAnsiTheme="minorHAnsi"/>
      <w:snapToGrid w:val="0"/>
      <w:sz w:val="24"/>
      <w:szCs w:val="150"/>
    </w:rPr>
  </w:style>
  <w:style w:type="character" w:customStyle="1" w:styleId="39">
    <w:name w:val="font121"/>
    <w:basedOn w:val="17"/>
    <w:qFormat/>
    <w:uiPriority w:val="0"/>
    <w:rPr>
      <w:rFonts w:ascii="黑体" w:eastAsia="黑体" w:cs="黑体"/>
      <w:color w:val="000000"/>
      <w:sz w:val="20"/>
      <w:szCs w:val="20"/>
      <w:u w:val="none"/>
    </w:rPr>
  </w:style>
  <w:style w:type="character" w:customStyle="1" w:styleId="40">
    <w:name w:val="font71"/>
    <w:basedOn w:val="17"/>
    <w:qFormat/>
    <w:uiPriority w:val="0"/>
    <w:rPr>
      <w:rFonts w:hint="eastAsia" w:ascii="华文中宋" w:hAnsi="华文中宋" w:eastAsia="华文中宋" w:cs="华文中宋"/>
      <w:b/>
      <w:color w:val="000000"/>
      <w:sz w:val="28"/>
      <w:szCs w:val="28"/>
      <w:u w:val="none"/>
    </w:rPr>
  </w:style>
  <w:style w:type="character" w:customStyle="1" w:styleId="41">
    <w:name w:val="font91"/>
    <w:basedOn w:val="17"/>
    <w:qFormat/>
    <w:uiPriority w:val="0"/>
    <w:rPr>
      <w:rFonts w:hint="eastAsia" w:ascii="宋体" w:hAnsi="宋体" w:eastAsia="宋体" w:cs="宋体"/>
      <w:color w:val="000000"/>
      <w:sz w:val="20"/>
      <w:szCs w:val="20"/>
      <w:u w:val="none"/>
    </w:rPr>
  </w:style>
  <w:style w:type="character" w:customStyle="1" w:styleId="42">
    <w:name w:val="font51"/>
    <w:basedOn w:val="17"/>
    <w:qFormat/>
    <w:uiPriority w:val="0"/>
    <w:rPr>
      <w:rFonts w:hint="default" w:ascii="Times New Roman" w:hAnsi="Times New Roman" w:cs="Times New Roman"/>
      <w:color w:val="000000"/>
      <w:sz w:val="20"/>
      <w:szCs w:val="20"/>
      <w:u w:val="none"/>
    </w:rPr>
  </w:style>
  <w:style w:type="paragraph" w:customStyle="1" w:styleId="43">
    <w:name w:val="正文1"/>
    <w:next w:val="44"/>
    <w:qFormat/>
    <w:uiPriority w:val="0"/>
    <w:pPr>
      <w:widowControl w:val="0"/>
      <w:jc w:val="both"/>
    </w:pPr>
    <w:rPr>
      <w:rFonts w:ascii="Calibri" w:hAnsi="Calibri" w:eastAsia="宋体" w:cs="Calibri"/>
      <w:kern w:val="2"/>
      <w:sz w:val="21"/>
      <w:szCs w:val="21"/>
      <w:lang w:val="en-US" w:eastAsia="zh-CN" w:bidi="ar-SA"/>
    </w:rPr>
  </w:style>
  <w:style w:type="paragraph" w:customStyle="1" w:styleId="44">
    <w:name w:val="正文文本1"/>
    <w:basedOn w:val="43"/>
    <w:qFormat/>
    <w:uiPriority w:val="99"/>
    <w:pPr>
      <w:spacing w:after="120"/>
    </w:pPr>
    <w:rPr>
      <w:rFonts w:cs="Arial"/>
      <w:szCs w:val="22"/>
    </w:rPr>
  </w:style>
  <w:style w:type="paragraph" w:customStyle="1" w:styleId="45">
    <w:name w:val="UserStyle_0"/>
    <w:next w:val="1"/>
    <w:qFormat/>
    <w:uiPriority w:val="0"/>
    <w:pPr>
      <w:spacing w:line="480" w:lineRule="auto"/>
      <w:ind w:left="420" w:leftChars="200"/>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18598</Words>
  <Characters>18781</Characters>
  <Lines>220</Lines>
  <Paragraphs>61</Paragraphs>
  <TotalTime>12</TotalTime>
  <ScaleCrop>false</ScaleCrop>
  <LinksUpToDate>false</LinksUpToDate>
  <CharactersWithSpaces>18848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2022-01-16T14:56:00Z</dcterms:created>
  <dc:creator>User</dc:creator>
  <cp:lastModifiedBy>greatwall</cp:lastModifiedBy>
  <cp:lastPrinted>2022-01-24T16:49:00Z</cp:lastPrinted>
  <dcterms:modified xsi:type="dcterms:W3CDTF">2024-06-12T18:25:03Z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93091660C17A49E5AA9C14BC0C515F19_13</vt:lpwstr>
  </property>
</Properties>
</file>